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77BCC" w14:textId="1C3F23C3" w:rsidR="00303A14" w:rsidRPr="006D35B3" w:rsidRDefault="00303A14" w:rsidP="00303A14">
      <w:pPr>
        <w:shd w:val="clear" w:color="auto" w:fill="FFFFFF"/>
        <w:rPr>
          <w:b/>
          <w:lang w:eastAsia="en-US"/>
        </w:rPr>
      </w:pPr>
      <w:bookmarkStart w:id="0" w:name="_Hlk207951908"/>
      <w:r w:rsidRPr="006D35B3">
        <w:rPr>
          <w:b/>
          <w:bCs/>
        </w:rPr>
        <w:t xml:space="preserve">Majandus- ja taristuministri </w:t>
      </w:r>
      <w:bookmarkStart w:id="1" w:name="_Hlk163555106"/>
      <w:r w:rsidRPr="006D35B3">
        <w:rPr>
          <w:b/>
          <w:bCs/>
        </w:rPr>
        <w:t>30. augusti 2019. a määruse nr 55 „Laevaliikluse korraldamise süsteemi tööpiirkonna piirid, liiklemise ning teadete ja informatsiooni edastamise kord“</w:t>
      </w:r>
      <w:bookmarkEnd w:id="1"/>
      <w:r w:rsidRPr="006D35B3">
        <w:rPr>
          <w:b/>
          <w:bCs/>
        </w:rPr>
        <w:t xml:space="preserve"> muutmi</w:t>
      </w:r>
      <w:r w:rsidR="00215552">
        <w:rPr>
          <w:b/>
          <w:bCs/>
        </w:rPr>
        <w:t>se määruse</w:t>
      </w:r>
      <w:r w:rsidRPr="006D35B3">
        <w:rPr>
          <w:b/>
        </w:rPr>
        <w:t xml:space="preserve"> </w:t>
      </w:r>
      <w:bookmarkEnd w:id="0"/>
      <w:r w:rsidRPr="006D35B3">
        <w:rPr>
          <w:b/>
        </w:rPr>
        <w:t>eelnõu seletuskiri</w:t>
      </w:r>
    </w:p>
    <w:p w14:paraId="3D44F3E9" w14:textId="77777777" w:rsidR="00303A14" w:rsidRPr="006D35B3" w:rsidRDefault="00303A14" w:rsidP="00303A14"/>
    <w:p w14:paraId="194E1155" w14:textId="77777777" w:rsidR="00303A14" w:rsidRPr="006D35B3" w:rsidRDefault="00303A14" w:rsidP="00303A14">
      <w:pPr>
        <w:rPr>
          <w:b/>
        </w:rPr>
      </w:pPr>
      <w:r w:rsidRPr="006D35B3">
        <w:rPr>
          <w:b/>
        </w:rPr>
        <w:t>1. Sissejuhatus</w:t>
      </w:r>
    </w:p>
    <w:p w14:paraId="62FB9BA1" w14:textId="77777777" w:rsidR="00303A14" w:rsidRPr="006D35B3" w:rsidRDefault="00303A14" w:rsidP="00303A14">
      <w:pPr>
        <w:pStyle w:val="Kehatekst"/>
        <w:jc w:val="both"/>
      </w:pPr>
    </w:p>
    <w:p w14:paraId="698E60B4" w14:textId="77777777" w:rsidR="00303A14" w:rsidRPr="006D35B3" w:rsidRDefault="00303A14" w:rsidP="00303A14">
      <w:pPr>
        <w:shd w:val="clear" w:color="auto" w:fill="FFFFFF"/>
      </w:pPr>
      <w:r w:rsidRPr="006D35B3">
        <w:t>Määruse eelnõu on välja töötatud meresõiduohutuse seaduse (MSOS) § 42 lõigete 3, 9 ja 12 ning § 51 lõike 3 alusel.</w:t>
      </w:r>
    </w:p>
    <w:p w14:paraId="1620C4D7" w14:textId="77777777" w:rsidR="00303A14" w:rsidRPr="006D35B3" w:rsidRDefault="00303A14" w:rsidP="00303A14">
      <w:pPr>
        <w:pStyle w:val="Kehatekst"/>
        <w:jc w:val="both"/>
      </w:pPr>
    </w:p>
    <w:p w14:paraId="022C31B8" w14:textId="77777777" w:rsidR="00303A14" w:rsidRPr="006D35B3" w:rsidRDefault="00303A14" w:rsidP="00303A14">
      <w:pPr>
        <w:pStyle w:val="Kehatekst"/>
        <w:jc w:val="both"/>
      </w:pPr>
      <w:r w:rsidRPr="006D35B3">
        <w:t xml:space="preserve">Määrus reguleerib laevaliikluse korraldamise süsteemi tööpiirkonna piire ning teadete ja info edastamist laevajuhi ja Transpordiameti laevaliiklusjuhtide vahel. Laevaliikluse korraldamise süsteemi kuuluvad laevaliiklusteeninduse piirkond (edaspidi </w:t>
      </w:r>
      <w:r w:rsidRPr="005A5396">
        <w:rPr>
          <w:i/>
          <w:iCs/>
        </w:rPr>
        <w:t>VTS</w:t>
      </w:r>
      <w:r w:rsidRPr="00B96A96">
        <w:rPr>
          <w:rStyle w:val="Allmrkuseviide"/>
        </w:rPr>
        <w:footnoteReference w:id="1"/>
      </w:r>
      <w:r w:rsidRPr="005A5396">
        <w:rPr>
          <w:i/>
          <w:iCs/>
        </w:rPr>
        <w:t xml:space="preserve"> piirkond</w:t>
      </w:r>
      <w:r w:rsidRPr="006D35B3">
        <w:t xml:space="preserve">) ja Soome lahe laevaettekannete süsteemi piirkond (edaspidi </w:t>
      </w:r>
      <w:r w:rsidRPr="005A5396">
        <w:rPr>
          <w:i/>
          <w:iCs/>
        </w:rPr>
        <w:t>GOFREP</w:t>
      </w:r>
      <w:r w:rsidRPr="00B96A96">
        <w:rPr>
          <w:rStyle w:val="Allmrkuseviide"/>
        </w:rPr>
        <w:footnoteReference w:id="2"/>
      </w:r>
      <w:r w:rsidRPr="005A5396">
        <w:rPr>
          <w:i/>
          <w:iCs/>
        </w:rPr>
        <w:t xml:space="preserve"> piirkond</w:t>
      </w:r>
      <w:r w:rsidRPr="006D35B3">
        <w:t>).</w:t>
      </w:r>
    </w:p>
    <w:p w14:paraId="747C0980" w14:textId="77777777" w:rsidR="00303A14" w:rsidRPr="006D35B3" w:rsidRDefault="00303A14" w:rsidP="00303A14">
      <w:pPr>
        <w:pStyle w:val="Kehatekst"/>
        <w:jc w:val="both"/>
      </w:pPr>
    </w:p>
    <w:p w14:paraId="55857367" w14:textId="7FCE4194" w:rsidR="00303A14" w:rsidRPr="006D35B3" w:rsidRDefault="00303A14" w:rsidP="00303A14">
      <w:pPr>
        <w:pStyle w:val="Kehatekst"/>
        <w:jc w:val="both"/>
      </w:pPr>
      <w:r w:rsidRPr="006D35B3">
        <w:t xml:space="preserve">Määrusega kehtestatakse riigisisesesse õigusesse komisjoni delegeeritud direktiiv </w:t>
      </w:r>
      <w:r w:rsidR="00D57A90">
        <w:t>(EL) </w:t>
      </w:r>
      <w:r w:rsidRPr="006D35B3">
        <w:t>2025/811, millega muudetakse Euroopa Parlamendi ja nõukogu direktiivi 2002/59/EÜ I lisa seoses laevaettekannete süsteemidele edastatava teabega</w:t>
      </w:r>
      <w:r w:rsidR="0024638F" w:rsidRPr="006D35B3">
        <w:t xml:space="preserve"> (</w:t>
      </w:r>
      <w:r w:rsidR="0024638F" w:rsidRPr="00931FF7">
        <w:t xml:space="preserve">edaspidi </w:t>
      </w:r>
      <w:r w:rsidR="0024638F" w:rsidRPr="005A5396">
        <w:rPr>
          <w:i/>
          <w:iCs/>
        </w:rPr>
        <w:t>direktiiv 2025/811</w:t>
      </w:r>
      <w:r w:rsidR="0024638F" w:rsidRPr="006D35B3">
        <w:t>)</w:t>
      </w:r>
      <w:r w:rsidRPr="006D35B3">
        <w:t xml:space="preserve">. </w:t>
      </w:r>
      <w:bookmarkStart w:id="2" w:name="_Hlk207896303"/>
      <w:r w:rsidRPr="006D35B3">
        <w:t>Direktiivi kohaselt peavad Eesti VTS piirkonnast läbisõitva</w:t>
      </w:r>
      <w:r w:rsidR="00D57A90">
        <w:t>te</w:t>
      </w:r>
      <w:r w:rsidRPr="006D35B3">
        <w:t xml:space="preserve"> laevade juhid edaspidi esitama Transpordiametile teabe laeva kindlustustunnistuse või finantstagatise kohta. Direktiivi </w:t>
      </w:r>
      <w:r w:rsidR="0024638F" w:rsidRPr="006D35B3">
        <w:t xml:space="preserve">2025/811 </w:t>
      </w:r>
      <w:r w:rsidRPr="006D35B3">
        <w:t>ülevõtmise tähtaeg on 18.11.2025.</w:t>
      </w:r>
      <w:bookmarkEnd w:id="2"/>
    </w:p>
    <w:p w14:paraId="7BA92994" w14:textId="77777777" w:rsidR="00303A14" w:rsidRPr="006D35B3" w:rsidRDefault="00303A14" w:rsidP="00303A14">
      <w:pPr>
        <w:pStyle w:val="Kehatekst"/>
        <w:jc w:val="both"/>
      </w:pPr>
    </w:p>
    <w:p w14:paraId="23AD19F0" w14:textId="2CA0A311" w:rsidR="00303A14" w:rsidRPr="006D35B3" w:rsidRDefault="00303A14" w:rsidP="00303A14">
      <w:pPr>
        <w:pStyle w:val="Kehatekst"/>
        <w:jc w:val="both"/>
      </w:pPr>
      <w:r w:rsidRPr="006D35B3">
        <w:t xml:space="preserve">Lisaks viiakse määruse tervikteksti </w:t>
      </w:r>
      <w:r w:rsidR="00931FF7">
        <w:t xml:space="preserve">sisse </w:t>
      </w:r>
      <w:r w:rsidRPr="006D35B3">
        <w:t xml:space="preserve">muudatused, mis on seotud </w:t>
      </w:r>
      <w:proofErr w:type="spellStart"/>
      <w:r w:rsidRPr="006D35B3">
        <w:t>MSOS-i</w:t>
      </w:r>
      <w:proofErr w:type="spellEnd"/>
      <w:r w:rsidRPr="006D35B3">
        <w:t xml:space="preserve"> laevaliikluse korraldamise süsteemi peatüki</w:t>
      </w:r>
      <w:r w:rsidR="00A30BE6">
        <w:t>s tehtud</w:t>
      </w:r>
      <w:r w:rsidRPr="006D35B3">
        <w:t xml:space="preserve"> </w:t>
      </w:r>
      <w:r w:rsidR="00A30BE6" w:rsidRPr="006D35B3">
        <w:t>muudatustega</w:t>
      </w:r>
      <w:r w:rsidR="00A30BE6">
        <w:t xml:space="preserve">, mis jõustusid </w:t>
      </w:r>
      <w:r w:rsidRPr="006D35B3">
        <w:t>01.05.2025.</w:t>
      </w:r>
    </w:p>
    <w:p w14:paraId="42C8D9BD" w14:textId="77777777" w:rsidR="00303A14" w:rsidRPr="006D35B3" w:rsidRDefault="00303A14" w:rsidP="00303A14">
      <w:pPr>
        <w:pStyle w:val="Kehatekst"/>
        <w:jc w:val="both"/>
      </w:pPr>
    </w:p>
    <w:p w14:paraId="2E56016D" w14:textId="5AF9D6A9" w:rsidR="00303A14" w:rsidRPr="006D35B3" w:rsidRDefault="00303A14" w:rsidP="00303A14">
      <w:pPr>
        <w:rPr>
          <w:rFonts w:eastAsia="Calibri"/>
        </w:rPr>
      </w:pPr>
      <w:r w:rsidRPr="006D35B3">
        <w:t xml:space="preserve">Eelnõu ja seletuskirja </w:t>
      </w:r>
      <w:r w:rsidR="00A30BE6">
        <w:t xml:space="preserve">on </w:t>
      </w:r>
      <w:r w:rsidRPr="006D35B3">
        <w:t>koosta</w:t>
      </w:r>
      <w:r w:rsidR="00A30BE6">
        <w:t>nud</w:t>
      </w:r>
      <w:r w:rsidRPr="006D35B3">
        <w:t xml:space="preserve"> Kliimaministeeriumi merendusosakonna õigusnõunik Anton Merits (</w:t>
      </w:r>
      <w:hyperlink r:id="rId8" w:history="1">
        <w:r w:rsidRPr="006D35B3">
          <w:rPr>
            <w:rStyle w:val="Hperlink"/>
          </w:rPr>
          <w:t>anton.merits@kliimaministeerium.ee</w:t>
        </w:r>
      </w:hyperlink>
      <w:r w:rsidRPr="006D35B3">
        <w:t>). Eelnõu õigu</w:t>
      </w:r>
      <w:r w:rsidR="00A30BE6">
        <w:t>sekspertiisi</w:t>
      </w:r>
      <w:r w:rsidR="00931FF7">
        <w:t xml:space="preserve"> on</w:t>
      </w:r>
      <w:r w:rsidR="00A30BE6">
        <w:t xml:space="preserve"> tei</w:t>
      </w:r>
      <w:r w:rsidR="00931FF7">
        <w:t>nud</w:t>
      </w:r>
      <w:r w:rsidRPr="006D35B3">
        <w:t xml:space="preserve"> Kliimaministeeriumi õigusosakonna nõunik </w:t>
      </w:r>
      <w:r w:rsidR="00244E1E" w:rsidRPr="00CA1B7B">
        <w:t>Helen Holtsman (</w:t>
      </w:r>
      <w:hyperlink r:id="rId9" w:history="1">
        <w:r w:rsidR="005869F2" w:rsidRPr="00CA1B7B">
          <w:rPr>
            <w:rStyle w:val="Hperlink"/>
          </w:rPr>
          <w:t>helen.holtsman@kliimaministeerium.ee</w:t>
        </w:r>
      </w:hyperlink>
      <w:r w:rsidRPr="00BB57E2">
        <w:t>)</w:t>
      </w:r>
      <w:r w:rsidR="00A30BE6">
        <w:t>.</w:t>
      </w:r>
      <w:r w:rsidRPr="006D35B3">
        <w:t xml:space="preserve"> </w:t>
      </w:r>
      <w:r w:rsidRPr="006D35B3">
        <w:rPr>
          <w:rFonts w:eastAsia="Calibri"/>
        </w:rPr>
        <w:t>Eelnõu ja seletuskirja on keeletoimetanud Justiits- ja Digiministeeriumi õigusloome korralduse talituse toimetaja</w:t>
      </w:r>
      <w:r w:rsidR="00A30BE6">
        <w:rPr>
          <w:rFonts w:eastAsia="Calibri"/>
        </w:rPr>
        <w:t xml:space="preserve"> Moonika Kuusk (</w:t>
      </w:r>
      <w:hyperlink r:id="rId10" w:history="1">
        <w:r w:rsidR="00A30BE6" w:rsidRPr="00424DD2">
          <w:rPr>
            <w:rStyle w:val="Hperlink"/>
            <w:rFonts w:eastAsia="Calibri"/>
          </w:rPr>
          <w:t>moonika.kuusk@justdigi.ee</w:t>
        </w:r>
      </w:hyperlink>
      <w:r w:rsidR="00A30BE6">
        <w:rPr>
          <w:rFonts w:eastAsia="Calibri"/>
        </w:rPr>
        <w:t>).</w:t>
      </w:r>
    </w:p>
    <w:p w14:paraId="34817D4D" w14:textId="77777777" w:rsidR="00303A14" w:rsidRPr="006D35B3" w:rsidRDefault="00303A14" w:rsidP="00303A14">
      <w:pPr>
        <w:rPr>
          <w:lang w:val="de-DE"/>
        </w:rPr>
      </w:pPr>
    </w:p>
    <w:p w14:paraId="66B0D07B" w14:textId="77777777" w:rsidR="00303A14" w:rsidRPr="006D35B3" w:rsidRDefault="00303A14" w:rsidP="00303A14">
      <w:r w:rsidRPr="006D35B3">
        <w:t>Määrusega muudetakse määruse 06.02.2022 jõustunud redaktsiooni (RT I, 03.02.2022, 23).</w:t>
      </w:r>
    </w:p>
    <w:p w14:paraId="283AF2E6" w14:textId="77777777" w:rsidR="00303A14" w:rsidRPr="006D35B3" w:rsidRDefault="00303A14" w:rsidP="00303A14"/>
    <w:p w14:paraId="788530D3" w14:textId="77777777" w:rsidR="00303A14" w:rsidRPr="006D35B3" w:rsidRDefault="00303A14" w:rsidP="00303A14">
      <w:pPr>
        <w:rPr>
          <w:b/>
        </w:rPr>
      </w:pPr>
      <w:r w:rsidRPr="006D35B3">
        <w:rPr>
          <w:b/>
        </w:rPr>
        <w:t>2. Eelnõu sisu ja võrdlev analüüs</w:t>
      </w:r>
    </w:p>
    <w:p w14:paraId="28AF159A" w14:textId="77777777" w:rsidR="00303A14" w:rsidRPr="006D35B3" w:rsidRDefault="00303A14" w:rsidP="00303A14">
      <w:pPr>
        <w:rPr>
          <w:b/>
        </w:rPr>
      </w:pPr>
    </w:p>
    <w:p w14:paraId="3D9D7FEB" w14:textId="5A611F14" w:rsidR="007D2F21" w:rsidRDefault="00303A14" w:rsidP="00303A14">
      <w:pPr>
        <w:pStyle w:val="Taandegakehatekst"/>
        <w:ind w:left="0" w:firstLine="0"/>
      </w:pPr>
      <w:r w:rsidRPr="006D35B3">
        <w:t xml:space="preserve">Eelnõu koosneb </w:t>
      </w:r>
      <w:r w:rsidR="007D2F21">
        <w:t>kahest paragrahvist</w:t>
      </w:r>
      <w:r w:rsidRPr="006D35B3">
        <w:t>.</w:t>
      </w:r>
      <w:r w:rsidR="007D2F21">
        <w:t xml:space="preserve"> Paragrahviga 1 tehakse määruses sisulised muudatused, §</w:t>
      </w:r>
      <w:r w:rsidR="00D229FC">
        <w:t> </w:t>
      </w:r>
      <w:r w:rsidR="007D2F21">
        <w:t>2 on jõustumissäte.</w:t>
      </w:r>
      <w:r w:rsidRPr="006D35B3">
        <w:t xml:space="preserve"> </w:t>
      </w:r>
    </w:p>
    <w:p w14:paraId="5FDC6DAA" w14:textId="320D26FD" w:rsidR="00303A14" w:rsidRPr="006D35B3" w:rsidRDefault="00303A14" w:rsidP="00303A14">
      <w:pPr>
        <w:pStyle w:val="Taandegakehatekst"/>
        <w:ind w:left="0" w:firstLine="0"/>
      </w:pPr>
      <w:r w:rsidRPr="006D35B3">
        <w:t>Nagu eespool on kirjeldatud, jaguneb laevaliikluse korraldamise süsteem VTS ja GOFREP piirkondadeks.</w:t>
      </w:r>
    </w:p>
    <w:p w14:paraId="2667FFDB" w14:textId="77777777" w:rsidR="00303A14" w:rsidRPr="006D35B3" w:rsidRDefault="00303A14" w:rsidP="00303A14">
      <w:pPr>
        <w:pStyle w:val="Taandegakehatekst"/>
        <w:ind w:left="0" w:firstLine="0"/>
      </w:pPr>
    </w:p>
    <w:p w14:paraId="7ECF3A03" w14:textId="77777777" w:rsidR="00303A14" w:rsidRPr="006D35B3" w:rsidRDefault="00303A14" w:rsidP="00303A14">
      <w:pPr>
        <w:pStyle w:val="Taandegakehatekst"/>
        <w:ind w:left="0" w:firstLine="0"/>
      </w:pPr>
      <w:r w:rsidRPr="006D35B3">
        <w:rPr>
          <w:noProof/>
        </w:rPr>
        <w:lastRenderedPageBreak/>
        <w:drawing>
          <wp:inline distT="0" distB="0" distL="0" distR="0" wp14:anchorId="583D86CC" wp14:editId="7A390911">
            <wp:extent cx="3576577" cy="1908535"/>
            <wp:effectExtent l="0" t="0" r="6350" b="0"/>
            <wp:docPr id="602230389"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230389" name=""/>
                    <pic:cNvPicPr/>
                  </pic:nvPicPr>
                  <pic:blipFill>
                    <a:blip r:embed="rId11"/>
                    <a:stretch>
                      <a:fillRect/>
                    </a:stretch>
                  </pic:blipFill>
                  <pic:spPr>
                    <a:xfrm>
                      <a:off x="0" y="0"/>
                      <a:ext cx="3576577" cy="1908535"/>
                    </a:xfrm>
                    <a:prstGeom prst="rect">
                      <a:avLst/>
                    </a:prstGeom>
                  </pic:spPr>
                </pic:pic>
              </a:graphicData>
            </a:graphic>
          </wp:inline>
        </w:drawing>
      </w:r>
    </w:p>
    <w:p w14:paraId="6EF193E7" w14:textId="3440E29B" w:rsidR="00303A14" w:rsidRDefault="00303A14" w:rsidP="00303A14">
      <w:pPr>
        <w:pStyle w:val="Taandegakehatekst"/>
        <w:ind w:left="0" w:firstLine="0"/>
        <w:rPr>
          <w:i/>
          <w:iCs/>
        </w:rPr>
      </w:pPr>
      <w:r w:rsidRPr="006D35B3">
        <w:rPr>
          <w:i/>
          <w:iCs/>
        </w:rPr>
        <w:t>Joonis 1. VTS ja GOFREP piirkonnad kaardil.</w:t>
      </w:r>
    </w:p>
    <w:p w14:paraId="502C3071" w14:textId="77777777" w:rsidR="00A30BE6" w:rsidRPr="006D35B3" w:rsidRDefault="00A30BE6" w:rsidP="00303A14">
      <w:pPr>
        <w:pStyle w:val="Taandegakehatekst"/>
        <w:ind w:left="0" w:firstLine="0"/>
        <w:rPr>
          <w:i/>
          <w:iCs/>
        </w:rPr>
      </w:pPr>
    </w:p>
    <w:p w14:paraId="3C0994D0" w14:textId="287C38C1" w:rsidR="00A56CE8" w:rsidRPr="00BB57E2" w:rsidRDefault="00A56CE8" w:rsidP="00303A14">
      <w:pPr>
        <w:pStyle w:val="Taandegakehatekst"/>
        <w:ind w:left="0" w:firstLine="0"/>
      </w:pPr>
      <w:r w:rsidRPr="006D35B3">
        <w:rPr>
          <w:b/>
          <w:bCs/>
        </w:rPr>
        <w:t xml:space="preserve">Eelnõu </w:t>
      </w:r>
      <w:r w:rsidR="007D2F21">
        <w:rPr>
          <w:b/>
          <w:bCs/>
        </w:rPr>
        <w:t xml:space="preserve">§ 1 </w:t>
      </w:r>
      <w:r w:rsidRPr="006D35B3">
        <w:rPr>
          <w:b/>
          <w:bCs/>
        </w:rPr>
        <w:t xml:space="preserve">punktiga </w:t>
      </w:r>
      <w:r>
        <w:rPr>
          <w:b/>
          <w:bCs/>
        </w:rPr>
        <w:t>1</w:t>
      </w:r>
      <w:r w:rsidRPr="006D35B3">
        <w:rPr>
          <w:b/>
          <w:bCs/>
        </w:rPr>
        <w:t xml:space="preserve"> </w:t>
      </w:r>
      <w:r w:rsidRPr="006D35B3">
        <w:t xml:space="preserve">täiendatakse määruse pealkirja normitehnilise märkusega komisjoni delegeeritud </w:t>
      </w:r>
      <w:r w:rsidRPr="00851F30">
        <w:t>direktiivile</w:t>
      </w:r>
      <w:r w:rsidRPr="006D35B3">
        <w:t xml:space="preserve"> 2002/59, mida on viimati muudetud direktiiviga 2025/811.</w:t>
      </w:r>
    </w:p>
    <w:p w14:paraId="6C831829" w14:textId="77777777" w:rsidR="00A56CE8" w:rsidRDefault="00A56CE8" w:rsidP="00303A14">
      <w:pPr>
        <w:pStyle w:val="Taandegakehatekst"/>
        <w:ind w:left="0" w:firstLine="0"/>
        <w:rPr>
          <w:b/>
          <w:bCs/>
        </w:rPr>
      </w:pPr>
    </w:p>
    <w:p w14:paraId="44C3E6D9" w14:textId="61C2298D" w:rsidR="00303A14" w:rsidRPr="006D35B3" w:rsidRDefault="00303A14" w:rsidP="00303A14">
      <w:pPr>
        <w:pStyle w:val="Taandegakehatekst"/>
        <w:ind w:left="0" w:firstLine="0"/>
      </w:pPr>
      <w:r w:rsidRPr="006D35B3">
        <w:rPr>
          <w:b/>
          <w:bCs/>
        </w:rPr>
        <w:t xml:space="preserve">Eelnõu </w:t>
      </w:r>
      <w:r w:rsidR="007D2F21">
        <w:rPr>
          <w:b/>
          <w:bCs/>
        </w:rPr>
        <w:t xml:space="preserve">§ 1 </w:t>
      </w:r>
      <w:r w:rsidRPr="006D35B3">
        <w:rPr>
          <w:b/>
          <w:bCs/>
        </w:rPr>
        <w:t xml:space="preserve">punktiga </w:t>
      </w:r>
      <w:r w:rsidR="00A56CE8">
        <w:rPr>
          <w:b/>
          <w:bCs/>
        </w:rPr>
        <w:t>2</w:t>
      </w:r>
      <w:r w:rsidRPr="006D35B3">
        <w:t xml:space="preserve"> asendatakse määruses läbivalt sõna „operaator“ sõnaga „laevaliiklusjuht“. Samasisuline muudatus tehti </w:t>
      </w:r>
      <w:proofErr w:type="spellStart"/>
      <w:r w:rsidRPr="006D35B3">
        <w:t>MSOS-is</w:t>
      </w:r>
      <w:proofErr w:type="spellEnd"/>
      <w:r w:rsidRPr="006D35B3">
        <w:t xml:space="preserve">, kus sõna „operaator“ asendati sõnaga  „laevaliiklusjuht“ analoogiliselt lennujuhi või </w:t>
      </w:r>
      <w:proofErr w:type="spellStart"/>
      <w:r w:rsidRPr="006D35B3">
        <w:t>maanteeliiluse</w:t>
      </w:r>
      <w:proofErr w:type="spellEnd"/>
      <w:r w:rsidRPr="006D35B3">
        <w:t xml:space="preserve"> liiklusjuhi</w:t>
      </w:r>
      <w:r w:rsidR="00A30BE6">
        <w:t>ga</w:t>
      </w:r>
      <w:r w:rsidRPr="006D35B3">
        <w:t xml:space="preserve">, kuna sageli samastatakse laevaliiklusjuhti sadama operaatori või muude protsesside operaatoriga. </w:t>
      </w:r>
      <w:r w:rsidR="00A30BE6">
        <w:t>„</w:t>
      </w:r>
      <w:r w:rsidRPr="006D35B3">
        <w:t>Laevaliiklusjuht</w:t>
      </w:r>
      <w:r w:rsidR="00A30BE6">
        <w:t>“</w:t>
      </w:r>
      <w:r w:rsidRPr="006D35B3">
        <w:t xml:space="preserve"> on sobiv termin, mis kirjeldab täpselt ja arusaadavalt inimest, kes vastutab laevade liikluse korraldamise ja ohutuse tagamise eest. Se</w:t>
      </w:r>
      <w:r w:rsidR="00A30BE6">
        <w:t xml:space="preserve">da terminit </w:t>
      </w:r>
      <w:r w:rsidRPr="006D35B3">
        <w:t>ka</w:t>
      </w:r>
      <w:r w:rsidR="00A30BE6">
        <w:t>sutatakse</w:t>
      </w:r>
      <w:r w:rsidRPr="006D35B3">
        <w:t xml:space="preserve"> laialdaselt ka merenduses.</w:t>
      </w:r>
    </w:p>
    <w:p w14:paraId="2A7BFC42" w14:textId="77777777" w:rsidR="00303A14" w:rsidRPr="006D35B3" w:rsidRDefault="00303A14" w:rsidP="00303A14">
      <w:pPr>
        <w:pStyle w:val="Taandegakehatekst"/>
        <w:ind w:left="0" w:firstLine="0"/>
      </w:pPr>
    </w:p>
    <w:p w14:paraId="71893941" w14:textId="181587FD" w:rsidR="00303A14" w:rsidRPr="006D35B3" w:rsidRDefault="00303A14" w:rsidP="00303A14">
      <w:pPr>
        <w:rPr>
          <w:kern w:val="2"/>
          <w14:ligatures w14:val="standardContextual"/>
        </w:rPr>
      </w:pPr>
      <w:r w:rsidRPr="006D35B3">
        <w:rPr>
          <w:b/>
          <w:bCs/>
        </w:rPr>
        <w:t xml:space="preserve">Eelnõu </w:t>
      </w:r>
      <w:r w:rsidR="007D2F21">
        <w:rPr>
          <w:b/>
          <w:bCs/>
        </w:rPr>
        <w:t xml:space="preserve">§ 1 </w:t>
      </w:r>
      <w:r w:rsidRPr="006D35B3">
        <w:rPr>
          <w:b/>
          <w:bCs/>
        </w:rPr>
        <w:t xml:space="preserve">punktiga </w:t>
      </w:r>
      <w:r w:rsidR="00A56CE8">
        <w:rPr>
          <w:b/>
          <w:bCs/>
        </w:rPr>
        <w:t>3</w:t>
      </w:r>
      <w:r w:rsidRPr="006D35B3">
        <w:rPr>
          <w:b/>
          <w:bCs/>
        </w:rPr>
        <w:t xml:space="preserve"> </w:t>
      </w:r>
      <w:r w:rsidRPr="006D35B3">
        <w:t xml:space="preserve">tunnistatakse kehtetuks määruse § 1 lõiked 2 ja 3. Nende sätete kohaselt </w:t>
      </w:r>
      <w:r w:rsidRPr="006D35B3">
        <w:rPr>
          <w:kern w:val="2"/>
          <w14:ligatures w14:val="standardContextual"/>
        </w:rPr>
        <w:t xml:space="preserve">peab VTS piirkonnas oleva laeva laevajuht pidama vastaval töökanalil raadiovahti ja olema valmis kahepoolseks raadiosideks. Nõue kehtib laevajuhtidele, kelle laeva kohustuslikku varustusse kuulub VHF (ultralühilaine, mereside sagedusribas 156–174 MHz) </w:t>
      </w:r>
      <w:r w:rsidR="005A5396">
        <w:rPr>
          <w:kern w:val="2"/>
          <w14:ligatures w14:val="standardContextual"/>
        </w:rPr>
        <w:t xml:space="preserve">sagedusel töötav </w:t>
      </w:r>
      <w:r w:rsidRPr="006D35B3">
        <w:rPr>
          <w:kern w:val="2"/>
          <w14:ligatures w14:val="standardContextual"/>
        </w:rPr>
        <w:t xml:space="preserve">raadioseade. VHF </w:t>
      </w:r>
      <w:r w:rsidR="005A5396">
        <w:rPr>
          <w:kern w:val="2"/>
          <w14:ligatures w14:val="standardContextual"/>
        </w:rPr>
        <w:t xml:space="preserve">sagedusel töötav </w:t>
      </w:r>
      <w:r w:rsidRPr="006D35B3">
        <w:rPr>
          <w:kern w:val="2"/>
          <w14:ligatures w14:val="standardContextual"/>
        </w:rPr>
        <w:t xml:space="preserve">raadioseade peab olema laevadel, mis kuuluvad </w:t>
      </w:r>
      <w:proofErr w:type="spellStart"/>
      <w:r w:rsidRPr="006D35B3">
        <w:rPr>
          <w:kern w:val="2"/>
          <w14:ligatures w14:val="standardContextual"/>
        </w:rPr>
        <w:t>MSOS</w:t>
      </w:r>
      <w:r w:rsidR="00520859">
        <w:rPr>
          <w:kern w:val="2"/>
          <w14:ligatures w14:val="standardContextual"/>
        </w:rPr>
        <w:t>-i</w:t>
      </w:r>
      <w:proofErr w:type="spellEnd"/>
      <w:r w:rsidRPr="006D35B3">
        <w:rPr>
          <w:kern w:val="2"/>
          <w14:ligatures w14:val="standardContextual"/>
        </w:rPr>
        <w:t xml:space="preserve"> §</w:t>
      </w:r>
      <w:r w:rsidR="00D229FC">
        <w:rPr>
          <w:kern w:val="2"/>
          <w14:ligatures w14:val="standardContextual"/>
        </w:rPr>
        <w:t> </w:t>
      </w:r>
      <w:r w:rsidRPr="006D35B3">
        <w:rPr>
          <w:kern w:val="2"/>
          <w14:ligatures w14:val="standardContextual"/>
        </w:rPr>
        <w:t>19 lõike 5 alusel kehtestatud volitusnormi reguleerimisalasse. Need laevad on:</w:t>
      </w:r>
    </w:p>
    <w:p w14:paraId="3866652E" w14:textId="77777777" w:rsidR="00303A14" w:rsidRPr="006D35B3" w:rsidRDefault="00303A14" w:rsidP="00303A14">
      <w:pPr>
        <w:pStyle w:val="Loendilik"/>
        <w:numPr>
          <w:ilvl w:val="0"/>
          <w:numId w:val="2"/>
        </w:numPr>
        <w:suppressAutoHyphens w:val="0"/>
        <w:rPr>
          <w:kern w:val="2"/>
          <w14:ligatures w14:val="standardContextual"/>
        </w:rPr>
      </w:pPr>
      <w:r w:rsidRPr="006D35B3">
        <w:rPr>
          <w:shd w:val="clear" w:color="auto" w:fill="FFFFFF"/>
        </w:rPr>
        <w:t>12-meetrise ja suurema kogupikkusega kalalaev;</w:t>
      </w:r>
    </w:p>
    <w:p w14:paraId="4B446536" w14:textId="77777777" w:rsidR="00303A14" w:rsidRPr="006D35B3" w:rsidRDefault="00303A14" w:rsidP="00303A14">
      <w:pPr>
        <w:pStyle w:val="Loendilik"/>
        <w:numPr>
          <w:ilvl w:val="0"/>
          <w:numId w:val="2"/>
        </w:numPr>
        <w:suppressAutoHyphens w:val="0"/>
        <w:rPr>
          <w:kern w:val="2"/>
          <w14:ligatures w14:val="standardContextual"/>
        </w:rPr>
      </w:pPr>
      <w:r w:rsidRPr="006D35B3">
        <w:rPr>
          <w:shd w:val="clear" w:color="auto" w:fill="FFFFFF"/>
        </w:rPr>
        <w:t>alla 24-meetrise pikkusega reisilaev;</w:t>
      </w:r>
    </w:p>
    <w:p w14:paraId="19EB97BE" w14:textId="77777777" w:rsidR="00303A14" w:rsidRPr="006D35B3" w:rsidRDefault="00303A14" w:rsidP="00303A14">
      <w:pPr>
        <w:pStyle w:val="Loendilik"/>
        <w:numPr>
          <w:ilvl w:val="0"/>
          <w:numId w:val="2"/>
        </w:numPr>
        <w:suppressAutoHyphens w:val="0"/>
        <w:rPr>
          <w:kern w:val="2"/>
          <w14:ligatures w14:val="standardContextual"/>
        </w:rPr>
      </w:pPr>
      <w:r w:rsidRPr="006D35B3">
        <w:rPr>
          <w:shd w:val="clear" w:color="auto" w:fill="FFFFFF"/>
        </w:rPr>
        <w:t xml:space="preserve">alla </w:t>
      </w:r>
      <w:r w:rsidRPr="003C1691">
        <w:rPr>
          <w:shd w:val="clear" w:color="auto" w:fill="FFFFFF"/>
        </w:rPr>
        <w:t>500-se</w:t>
      </w:r>
      <w:r w:rsidRPr="006D35B3">
        <w:rPr>
          <w:shd w:val="clear" w:color="auto" w:fill="FFFFFF"/>
        </w:rPr>
        <w:t xml:space="preserve"> kogumahutavusega kaubalaev;</w:t>
      </w:r>
    </w:p>
    <w:p w14:paraId="7E2926AA" w14:textId="59308AEB" w:rsidR="00303A14" w:rsidRPr="005A5396" w:rsidRDefault="00303A14" w:rsidP="00303A14">
      <w:pPr>
        <w:pStyle w:val="Loendilik"/>
        <w:numPr>
          <w:ilvl w:val="0"/>
          <w:numId w:val="2"/>
        </w:numPr>
        <w:suppressAutoHyphens w:val="0"/>
        <w:rPr>
          <w:kern w:val="2"/>
          <w14:ligatures w14:val="standardContextual"/>
        </w:rPr>
      </w:pPr>
      <w:r w:rsidRPr="00CD16E6">
        <w:rPr>
          <w:shd w:val="clear" w:color="auto" w:fill="FFFFFF"/>
        </w:rPr>
        <w:t>muud laevad niivõrd</w:t>
      </w:r>
      <w:r w:rsidRPr="00CD16E6">
        <w:t xml:space="preserve">, </w:t>
      </w:r>
      <w:r w:rsidRPr="00CD16E6">
        <w:rPr>
          <w:shd w:val="clear" w:color="auto" w:fill="FFFFFF"/>
        </w:rPr>
        <w:t xml:space="preserve">kuivõrd need ei ole sätestatud </w:t>
      </w:r>
      <w:proofErr w:type="spellStart"/>
      <w:r w:rsidRPr="00CD16E6">
        <w:rPr>
          <w:shd w:val="clear" w:color="auto" w:fill="FFFFFF"/>
        </w:rPr>
        <w:t>MSOS</w:t>
      </w:r>
      <w:r w:rsidR="00520859" w:rsidRPr="00CD16E6">
        <w:rPr>
          <w:shd w:val="clear" w:color="auto" w:fill="FFFFFF"/>
        </w:rPr>
        <w:t>-i</w:t>
      </w:r>
      <w:proofErr w:type="spellEnd"/>
      <w:r w:rsidRPr="00CD16E6">
        <w:rPr>
          <w:shd w:val="clear" w:color="auto" w:fill="FFFFFF"/>
        </w:rPr>
        <w:t xml:space="preserve"> § 19 lõigete 4 ja 6 alusel kehtestatud või muus õigusaktis või rahvusvahelises konventsioonis.</w:t>
      </w:r>
    </w:p>
    <w:p w14:paraId="00701E77" w14:textId="77777777" w:rsidR="00CD16E6" w:rsidRPr="00CD16E6" w:rsidRDefault="00CD16E6" w:rsidP="005A5396">
      <w:pPr>
        <w:pStyle w:val="Loendilik"/>
        <w:suppressAutoHyphens w:val="0"/>
        <w:rPr>
          <w:kern w:val="2"/>
          <w14:ligatures w14:val="standardContextual"/>
        </w:rPr>
      </w:pPr>
    </w:p>
    <w:p w14:paraId="0BBD5560" w14:textId="77777777" w:rsidR="00303A14" w:rsidRPr="006D35B3" w:rsidRDefault="00303A14" w:rsidP="00303A14">
      <w:pPr>
        <w:pStyle w:val="Taandegakehatekst"/>
        <w:ind w:left="0" w:firstLine="0"/>
      </w:pPr>
      <w:r w:rsidRPr="006D35B3">
        <w:t>Lõikega 3 täpsustati, millistel juhtudel peab väikelaeva juht seda nõuet järgima.</w:t>
      </w:r>
    </w:p>
    <w:p w14:paraId="79810309" w14:textId="77777777" w:rsidR="00303A14" w:rsidRPr="006D35B3" w:rsidRDefault="00303A14" w:rsidP="00303A14">
      <w:pPr>
        <w:pStyle w:val="Taandegakehatekst"/>
        <w:ind w:left="0" w:firstLine="0"/>
      </w:pPr>
    </w:p>
    <w:p w14:paraId="655E7531" w14:textId="77777777" w:rsidR="00303A14" w:rsidRPr="006D35B3" w:rsidRDefault="00303A14" w:rsidP="00303A14">
      <w:pPr>
        <w:pStyle w:val="Taandegakehatekst"/>
        <w:ind w:left="0" w:firstLine="0"/>
        <w:rPr>
          <w:kern w:val="2"/>
          <w:szCs w:val="24"/>
          <w14:ligatures w14:val="standardContextual"/>
        </w:rPr>
      </w:pPr>
      <w:r w:rsidRPr="006D35B3">
        <w:t>Tegemist oli üldiste</w:t>
      </w:r>
      <w:r w:rsidRPr="006D35B3">
        <w:rPr>
          <w:kern w:val="2"/>
          <w:szCs w:val="24"/>
          <w14:ligatures w14:val="standardContextual"/>
        </w:rPr>
        <w:t xml:space="preserve">, isikutele kohustusi kehtestavate normidega, mis sätestati alates 01.05.2025 seaduse tasandil, täpsemalt </w:t>
      </w:r>
      <w:proofErr w:type="spellStart"/>
      <w:r w:rsidRPr="006D35B3">
        <w:rPr>
          <w:kern w:val="2"/>
          <w:szCs w:val="24"/>
          <w14:ligatures w14:val="standardContextual"/>
        </w:rPr>
        <w:t>MSOS-i</w:t>
      </w:r>
      <w:proofErr w:type="spellEnd"/>
      <w:r w:rsidRPr="006D35B3">
        <w:rPr>
          <w:kern w:val="2"/>
          <w:szCs w:val="24"/>
          <w14:ligatures w14:val="standardContextual"/>
        </w:rPr>
        <w:t xml:space="preserve"> § 52 lõikes 2</w:t>
      </w:r>
      <w:r w:rsidRPr="006D35B3">
        <w:rPr>
          <w:kern w:val="2"/>
          <w:szCs w:val="24"/>
          <w:vertAlign w:val="superscript"/>
          <w14:ligatures w14:val="standardContextual"/>
        </w:rPr>
        <w:t>1</w:t>
      </w:r>
      <w:r w:rsidRPr="006D35B3">
        <w:rPr>
          <w:kern w:val="2"/>
          <w:szCs w:val="24"/>
          <w14:ligatures w14:val="standardContextual"/>
        </w:rPr>
        <w:t>. Seetõttu tunnistatakse määruse § 1 lõiked 2 ja 3 kehtetuks.</w:t>
      </w:r>
    </w:p>
    <w:p w14:paraId="73C2BBA1" w14:textId="77777777" w:rsidR="00303A14" w:rsidRPr="006D35B3" w:rsidRDefault="00303A14" w:rsidP="00303A14">
      <w:pPr>
        <w:pStyle w:val="Taandegakehatekst"/>
        <w:ind w:left="0" w:firstLine="0"/>
        <w:rPr>
          <w:i/>
          <w:iCs/>
        </w:rPr>
      </w:pPr>
    </w:p>
    <w:p w14:paraId="10A4FFBC" w14:textId="40170438" w:rsidR="00303A14" w:rsidRPr="006D35B3" w:rsidRDefault="00303A14" w:rsidP="00303A14">
      <w:pPr>
        <w:pStyle w:val="Taandegakehatekst"/>
        <w:ind w:left="0" w:firstLine="0"/>
      </w:pPr>
      <w:r w:rsidRPr="006D35B3">
        <w:rPr>
          <w:b/>
          <w:bCs/>
        </w:rPr>
        <w:t xml:space="preserve">Eelnõu </w:t>
      </w:r>
      <w:r w:rsidR="007D2F21">
        <w:rPr>
          <w:b/>
          <w:bCs/>
        </w:rPr>
        <w:t xml:space="preserve">§ 1 </w:t>
      </w:r>
      <w:r w:rsidRPr="006D35B3">
        <w:rPr>
          <w:b/>
          <w:bCs/>
        </w:rPr>
        <w:t xml:space="preserve">punktiga </w:t>
      </w:r>
      <w:r w:rsidR="00A56CE8">
        <w:rPr>
          <w:b/>
          <w:bCs/>
        </w:rPr>
        <w:t>4</w:t>
      </w:r>
      <w:r w:rsidRPr="006D35B3">
        <w:rPr>
          <w:b/>
          <w:bCs/>
        </w:rPr>
        <w:t xml:space="preserve"> </w:t>
      </w:r>
      <w:r w:rsidRPr="006D35B3">
        <w:t>täiendatakse määruse § 4 lõikega 5. Muudatus on seotud direktiiviga 2025/811 kehtestatud nõuetega, mis võetakse üle Eesti õigusesse. Direktiiv 2025/811 võeti vastu</w:t>
      </w:r>
      <w:r w:rsidR="005A5396">
        <w:t>, et tegeleda</w:t>
      </w:r>
      <w:r w:rsidRPr="006D35B3">
        <w:t xml:space="preserve"> hämar- või varilaevastiku kasvuga seotud probleem</w:t>
      </w:r>
      <w:r w:rsidR="005A5396">
        <w:t>id</w:t>
      </w:r>
      <w:r w:rsidRPr="006D35B3">
        <w:t>e</w:t>
      </w:r>
      <w:r w:rsidR="005A5396">
        <w:t>ga</w:t>
      </w:r>
      <w:r w:rsidRPr="006D35B3">
        <w:t>.</w:t>
      </w:r>
    </w:p>
    <w:p w14:paraId="24F386AC" w14:textId="00B4724A" w:rsidR="00303A14" w:rsidRPr="006D35B3" w:rsidRDefault="00303A14" w:rsidP="00303A14">
      <w:pPr>
        <w:pStyle w:val="Taandegakehatekst"/>
        <w:ind w:left="0" w:firstLine="0"/>
        <w:rPr>
          <w:szCs w:val="24"/>
        </w:rPr>
      </w:pPr>
      <w:r w:rsidRPr="006D35B3">
        <w:t xml:space="preserve">Direktiivis 2002/59/EÜ on nõutud, et kõik laevad, mis sisenevad mis tahes EL-i liikmesriigi või liikmesriikide käitatava kohustuslike laevaettekannete süsteemi piirkonda, peavad nõutava teabe esitamisel järgima seda süsteemi. Laevu, mis ei teata rahvusvaheliste või EL-i eeskirjade kohaselt kindlustustunnistusest või finantstagatisest või millel need puuduvad, loetakse laevadeks, mis tekitavad võimaliku ohu laevasõidule või meresõiduohutusele, inimeludele või </w:t>
      </w:r>
      <w:r w:rsidRPr="006D35B3">
        <w:lastRenderedPageBreak/>
        <w:t>keskkonnale. Ne</w:t>
      </w:r>
      <w:r w:rsidR="005316FF">
        <w:t>ed</w:t>
      </w:r>
      <w:r w:rsidRPr="006D35B3">
        <w:t xml:space="preserve"> nõu</w:t>
      </w:r>
      <w:r w:rsidR="005316FF">
        <w:t>ded</w:t>
      </w:r>
      <w:r w:rsidRPr="006D35B3">
        <w:t xml:space="preserve"> ei </w:t>
      </w:r>
      <w:r w:rsidR="005316FF">
        <w:t>hõlmanud</w:t>
      </w:r>
      <w:r w:rsidRPr="006D35B3">
        <w:t xml:space="preserve"> aga olukor</w:t>
      </w:r>
      <w:r w:rsidR="005316FF">
        <w:t>di</w:t>
      </w:r>
      <w:r w:rsidRPr="006D35B3">
        <w:t>, kui laev, olenemata oma lipust, seilab läbisõidul mööda liikmesriigi rannikut, kuid ei sisene selle sadamasse. Direktiiviga</w:t>
      </w:r>
      <w:r w:rsidRPr="006D35B3">
        <w:rPr>
          <w:szCs w:val="24"/>
        </w:rPr>
        <w:t xml:space="preserve"> 2025/811 täiendatakse direktiivi 2002/59/EÜ lisa teabega laeva kindlustustunnistuste kohta, mida peetakse asendamatuks</w:t>
      </w:r>
      <w:r w:rsidR="005316FF">
        <w:rPr>
          <w:szCs w:val="24"/>
        </w:rPr>
        <w:t>, et tagada</w:t>
      </w:r>
      <w:r w:rsidRPr="006D35B3">
        <w:rPr>
          <w:szCs w:val="24"/>
        </w:rPr>
        <w:t xml:space="preserve"> meresõiduohutus</w:t>
      </w:r>
      <w:r w:rsidR="005316FF">
        <w:rPr>
          <w:szCs w:val="24"/>
        </w:rPr>
        <w:t xml:space="preserve"> ja</w:t>
      </w:r>
      <w:r w:rsidRPr="006D35B3">
        <w:rPr>
          <w:szCs w:val="24"/>
        </w:rPr>
        <w:t xml:space="preserve"> keskkonnakaitse </w:t>
      </w:r>
      <w:r w:rsidR="005316FF">
        <w:rPr>
          <w:szCs w:val="24"/>
        </w:rPr>
        <w:t>ning</w:t>
      </w:r>
      <w:r w:rsidRPr="006D35B3">
        <w:rPr>
          <w:szCs w:val="24"/>
        </w:rPr>
        <w:t xml:space="preserve"> hädaolukordadele tõhus</w:t>
      </w:r>
      <w:r w:rsidR="005316FF">
        <w:rPr>
          <w:szCs w:val="24"/>
        </w:rPr>
        <w:t>alt</w:t>
      </w:r>
      <w:r w:rsidRPr="006D35B3">
        <w:rPr>
          <w:szCs w:val="24"/>
        </w:rPr>
        <w:t xml:space="preserve"> reageeri</w:t>
      </w:r>
      <w:r w:rsidR="005316FF">
        <w:rPr>
          <w:szCs w:val="24"/>
        </w:rPr>
        <w:t>da</w:t>
      </w:r>
      <w:r w:rsidRPr="006D35B3">
        <w:rPr>
          <w:szCs w:val="24"/>
        </w:rPr>
        <w:t>.</w:t>
      </w:r>
    </w:p>
    <w:p w14:paraId="2D8230E1" w14:textId="77777777" w:rsidR="00303A14" w:rsidRPr="006D35B3" w:rsidRDefault="00303A14" w:rsidP="00303A14">
      <w:pPr>
        <w:pStyle w:val="Taandegakehatekst"/>
        <w:ind w:left="0" w:firstLine="0"/>
        <w:rPr>
          <w:szCs w:val="24"/>
          <w:vertAlign w:val="superscript"/>
        </w:rPr>
      </w:pPr>
    </w:p>
    <w:p w14:paraId="7699EAA5" w14:textId="6051FB15" w:rsidR="00303A14" w:rsidRPr="006D35B3" w:rsidRDefault="00303A14" w:rsidP="00303A14">
      <w:pPr>
        <w:pStyle w:val="Taandegakehatekst"/>
        <w:ind w:left="0" w:firstLine="0"/>
        <w:rPr>
          <w:szCs w:val="24"/>
        </w:rPr>
      </w:pPr>
      <w:r w:rsidRPr="006D35B3">
        <w:rPr>
          <w:szCs w:val="24"/>
        </w:rPr>
        <w:t xml:space="preserve">Paragrahvi 4 uue lõikega 5 kehtestatakse </w:t>
      </w:r>
      <w:r w:rsidR="00163787" w:rsidRPr="006D35B3">
        <w:rPr>
          <w:szCs w:val="24"/>
        </w:rPr>
        <w:t>läbisõitvatele laevadele</w:t>
      </w:r>
      <w:r w:rsidRPr="006D35B3">
        <w:rPr>
          <w:szCs w:val="24"/>
        </w:rPr>
        <w:t xml:space="preserve"> (st laevadele, mis sisenevad VTS piirkonda, kuid ei sisene Eesti sadamasse</w:t>
      </w:r>
      <w:r w:rsidRPr="006D35B3">
        <w:rPr>
          <w:rStyle w:val="Allmrkuseviide"/>
          <w:szCs w:val="24"/>
        </w:rPr>
        <w:footnoteReference w:id="3"/>
      </w:r>
      <w:r w:rsidRPr="006D35B3">
        <w:rPr>
          <w:szCs w:val="24"/>
        </w:rPr>
        <w:t>) kohustus edastada loetelus sätestatud andmed, mis on nende puhul asjakohased:</w:t>
      </w:r>
    </w:p>
    <w:p w14:paraId="11653B9D" w14:textId="77777777" w:rsidR="00BB57E2" w:rsidRPr="006D35B3" w:rsidRDefault="00BB57E2" w:rsidP="00BB57E2">
      <w:pPr>
        <w:pStyle w:val="Taandegakehatekst"/>
        <w:numPr>
          <w:ilvl w:val="0"/>
          <w:numId w:val="2"/>
        </w:numPr>
        <w:rPr>
          <w:szCs w:val="24"/>
        </w:rPr>
      </w:pPr>
      <w:r w:rsidRPr="006D35B3">
        <w:rPr>
          <w:szCs w:val="24"/>
        </w:rPr>
        <w:t>laeva punkrikütuse omadused ja eeldatav kogus, mis tuleb edastada üle 1000-se kogumahutavusega laeva puhul;</w:t>
      </w:r>
    </w:p>
    <w:p w14:paraId="73ACBEF0" w14:textId="2E7453B9" w:rsidR="00BB57E2" w:rsidRPr="006D35B3" w:rsidRDefault="00BB57E2" w:rsidP="00BB57E2">
      <w:pPr>
        <w:pStyle w:val="Taandegakehatekst"/>
        <w:numPr>
          <w:ilvl w:val="0"/>
          <w:numId w:val="2"/>
        </w:numPr>
        <w:rPr>
          <w:szCs w:val="24"/>
        </w:rPr>
      </w:pPr>
      <w:r w:rsidRPr="006D35B3">
        <w:rPr>
          <w:szCs w:val="24"/>
        </w:rPr>
        <w:t xml:space="preserve">laeva </w:t>
      </w:r>
      <w:proofErr w:type="spellStart"/>
      <w:r w:rsidRPr="006D35B3">
        <w:rPr>
          <w:szCs w:val="24"/>
        </w:rPr>
        <w:t>navigatsiooni</w:t>
      </w:r>
      <w:r>
        <w:rPr>
          <w:szCs w:val="24"/>
        </w:rPr>
        <w:t>line</w:t>
      </w:r>
      <w:proofErr w:type="spellEnd"/>
      <w:r>
        <w:rPr>
          <w:szCs w:val="24"/>
        </w:rPr>
        <w:t xml:space="preserve"> </w:t>
      </w:r>
      <w:r w:rsidRPr="006D35B3">
        <w:rPr>
          <w:szCs w:val="24"/>
        </w:rPr>
        <w:t>staatus (kas laev on käigus või ankrus), mis tuleb edastada kõigi laevade puhul;</w:t>
      </w:r>
    </w:p>
    <w:p w14:paraId="442F0572" w14:textId="77777777" w:rsidR="00303A14" w:rsidRPr="006D35B3" w:rsidRDefault="00303A14" w:rsidP="00303A14">
      <w:pPr>
        <w:pStyle w:val="Taandegakehatekst"/>
        <w:numPr>
          <w:ilvl w:val="0"/>
          <w:numId w:val="2"/>
        </w:numPr>
        <w:rPr>
          <w:szCs w:val="24"/>
        </w:rPr>
      </w:pPr>
      <w:r w:rsidRPr="006D35B3">
        <w:rPr>
          <w:szCs w:val="24"/>
        </w:rPr>
        <w:t>kindlustustunnistus, mis tõendab merinõuete kindlustuse olemasolu vastavalt kaubandusliku meresõidu seaduse §-le 77</w:t>
      </w:r>
      <w:r w:rsidRPr="006D35B3">
        <w:rPr>
          <w:szCs w:val="24"/>
          <w:vertAlign w:val="superscript"/>
        </w:rPr>
        <w:t>1</w:t>
      </w:r>
      <w:r w:rsidRPr="006D35B3">
        <w:rPr>
          <w:szCs w:val="24"/>
        </w:rPr>
        <w:t xml:space="preserve"> ja direktiivile 2009/20/EÜ</w:t>
      </w:r>
      <w:r w:rsidRPr="006D35B3">
        <w:rPr>
          <w:rStyle w:val="Allmrkuseviide"/>
          <w:szCs w:val="24"/>
        </w:rPr>
        <w:footnoteReference w:id="4"/>
      </w:r>
      <w:r w:rsidRPr="006D35B3">
        <w:rPr>
          <w:szCs w:val="24"/>
        </w:rPr>
        <w:t xml:space="preserve"> (300-se või suurema kogumahutavusega laev);</w:t>
      </w:r>
    </w:p>
    <w:p w14:paraId="5AF0B59D" w14:textId="15EFA057" w:rsidR="00303A14" w:rsidRPr="006D35B3" w:rsidRDefault="00303A14" w:rsidP="00303A14">
      <w:pPr>
        <w:pStyle w:val="Taandegakehatekst"/>
        <w:numPr>
          <w:ilvl w:val="0"/>
          <w:numId w:val="2"/>
        </w:numPr>
        <w:rPr>
          <w:szCs w:val="24"/>
        </w:rPr>
      </w:pPr>
      <w:r w:rsidRPr="006D35B3">
        <w:rPr>
          <w:szCs w:val="24"/>
        </w:rPr>
        <w:t>tsiviilvastutuskindlustuse tunnistus, mis on välja antud naftareostusest põhjustatud kahju korral kehtiva tsiviilvastutuse 1992. aasta rahvusvaheli</w:t>
      </w:r>
      <w:r w:rsidR="00BD1909">
        <w:rPr>
          <w:szCs w:val="24"/>
        </w:rPr>
        <w:t>s</w:t>
      </w:r>
      <w:r w:rsidRPr="006D35B3">
        <w:rPr>
          <w:szCs w:val="24"/>
        </w:rPr>
        <w:t>e konventsiooni</w:t>
      </w:r>
      <w:r w:rsidR="00BD1909">
        <w:rPr>
          <w:szCs w:val="24"/>
        </w:rPr>
        <w:t xml:space="preserve"> kohaselt</w:t>
      </w:r>
      <w:r w:rsidRPr="006D35B3">
        <w:rPr>
          <w:szCs w:val="24"/>
        </w:rPr>
        <w:t xml:space="preserve"> (tankerid sõltumata laeva kogumahutavusest);</w:t>
      </w:r>
    </w:p>
    <w:p w14:paraId="5F7421A6" w14:textId="0C27C15A" w:rsidR="00303A14" w:rsidRPr="006D35B3" w:rsidRDefault="00303A14" w:rsidP="00303A14">
      <w:pPr>
        <w:pStyle w:val="Taandegakehatekst"/>
        <w:numPr>
          <w:ilvl w:val="0"/>
          <w:numId w:val="2"/>
        </w:numPr>
        <w:rPr>
          <w:szCs w:val="24"/>
        </w:rPr>
      </w:pPr>
      <w:r w:rsidRPr="006D35B3">
        <w:rPr>
          <w:szCs w:val="24"/>
        </w:rPr>
        <w:t>tsiviilvastutuskindlustuse tunnistus, mis on välja antud punkrikütusereostusest põhjustatud kahju eest kantava tsiviilvastutuse 2001. aasta rahvusvaheli</w:t>
      </w:r>
      <w:r w:rsidR="00BD1909">
        <w:rPr>
          <w:szCs w:val="24"/>
        </w:rPr>
        <w:t>s</w:t>
      </w:r>
      <w:r w:rsidRPr="006D35B3">
        <w:rPr>
          <w:szCs w:val="24"/>
        </w:rPr>
        <w:t>e konventsiooni</w:t>
      </w:r>
      <w:r w:rsidR="00BD1909">
        <w:rPr>
          <w:szCs w:val="24"/>
        </w:rPr>
        <w:t xml:space="preserve"> kohaselt</w:t>
      </w:r>
      <w:r w:rsidRPr="006D35B3">
        <w:rPr>
          <w:szCs w:val="24"/>
        </w:rPr>
        <w:t xml:space="preserve"> (1000-se või suurema kogumahutavusega laev);</w:t>
      </w:r>
    </w:p>
    <w:p w14:paraId="053BC070" w14:textId="6336A9D9" w:rsidR="00303A14" w:rsidRPr="006D35B3" w:rsidRDefault="00303A14" w:rsidP="00303A14">
      <w:pPr>
        <w:pStyle w:val="Taandegakehatekst"/>
        <w:numPr>
          <w:ilvl w:val="0"/>
          <w:numId w:val="2"/>
        </w:numPr>
        <w:rPr>
          <w:szCs w:val="24"/>
        </w:rPr>
      </w:pPr>
      <w:r w:rsidRPr="006D35B3">
        <w:rPr>
          <w:szCs w:val="24"/>
        </w:rPr>
        <w:t>tsiviilvastutuskindlustuse tunnistus, mis on välja antud Nairobi rahvusvahelise laevavrakkide eemaldamise 2007. aasta konventsiooni</w:t>
      </w:r>
      <w:r w:rsidR="00BD1909">
        <w:rPr>
          <w:szCs w:val="24"/>
        </w:rPr>
        <w:t xml:space="preserve"> kohaselt</w:t>
      </w:r>
      <w:r w:rsidRPr="006D35B3">
        <w:rPr>
          <w:szCs w:val="24"/>
        </w:rPr>
        <w:t xml:space="preserve"> (300-se või suurema kogumahutavusega laev).</w:t>
      </w:r>
    </w:p>
    <w:p w14:paraId="60524813" w14:textId="77777777" w:rsidR="00303A14" w:rsidRPr="006D35B3" w:rsidRDefault="00303A14" w:rsidP="00303A14">
      <w:pPr>
        <w:pStyle w:val="Taandegakehatekst"/>
        <w:ind w:left="0" w:firstLine="0"/>
        <w:rPr>
          <w:szCs w:val="24"/>
        </w:rPr>
      </w:pPr>
    </w:p>
    <w:p w14:paraId="4FA3F45E" w14:textId="25DA54FD" w:rsidR="00303A14" w:rsidRPr="006D35B3" w:rsidRDefault="00303A14" w:rsidP="00303A14">
      <w:pPr>
        <w:pStyle w:val="Taandegakehatekst"/>
        <w:ind w:left="0" w:firstLine="0"/>
        <w:rPr>
          <w:szCs w:val="24"/>
        </w:rPr>
      </w:pPr>
      <w:r w:rsidRPr="006D35B3">
        <w:rPr>
          <w:szCs w:val="24"/>
        </w:rPr>
        <w:t>Laevajuhtidel tekib kohustus esitada teade vastavate andmetega Transpordiameti laevaliiklusjuhile. Tegemist on EL</w:t>
      </w:r>
      <w:r w:rsidR="00BD1909">
        <w:rPr>
          <w:szCs w:val="24"/>
        </w:rPr>
        <w:t>-i</w:t>
      </w:r>
      <w:r w:rsidRPr="006D35B3">
        <w:rPr>
          <w:szCs w:val="24"/>
        </w:rPr>
        <w:t xml:space="preserve"> direktiivi nõudega, mis tähendab, et seda rakendatakse</w:t>
      </w:r>
      <w:r w:rsidR="00163787" w:rsidRPr="006D35B3">
        <w:rPr>
          <w:szCs w:val="24"/>
        </w:rPr>
        <w:t xml:space="preserve"> edaspidi</w:t>
      </w:r>
      <w:r w:rsidRPr="006D35B3">
        <w:rPr>
          <w:szCs w:val="24"/>
        </w:rPr>
        <w:t xml:space="preserve"> ka teistes EL</w:t>
      </w:r>
      <w:r w:rsidR="00BD1909">
        <w:rPr>
          <w:szCs w:val="24"/>
        </w:rPr>
        <w:t>-i</w:t>
      </w:r>
      <w:r w:rsidRPr="006D35B3">
        <w:rPr>
          <w:szCs w:val="24"/>
        </w:rPr>
        <w:t xml:space="preserve"> liikmesriikides – näiteks laeva </w:t>
      </w:r>
      <w:r w:rsidR="00163787" w:rsidRPr="006D35B3">
        <w:rPr>
          <w:szCs w:val="24"/>
        </w:rPr>
        <w:t xml:space="preserve">sisenemisel </w:t>
      </w:r>
      <w:r w:rsidRPr="006D35B3">
        <w:rPr>
          <w:szCs w:val="24"/>
        </w:rPr>
        <w:t>Läänemerre Taani väinade kaudu tekib kohustus edastada sama info ka Taani mereadministratsioonile.</w:t>
      </w:r>
    </w:p>
    <w:p w14:paraId="5FE29077" w14:textId="77777777" w:rsidR="00303A14" w:rsidRPr="006D35B3" w:rsidRDefault="00303A14" w:rsidP="00303A14">
      <w:pPr>
        <w:pStyle w:val="Taandegakehatekst"/>
        <w:ind w:left="0" w:firstLine="0"/>
        <w:rPr>
          <w:b/>
          <w:bCs/>
        </w:rPr>
      </w:pPr>
    </w:p>
    <w:p w14:paraId="11CD08AA" w14:textId="7885283F" w:rsidR="00303A14" w:rsidRPr="006D35B3" w:rsidRDefault="00303A14" w:rsidP="00303A14">
      <w:pPr>
        <w:pStyle w:val="Taandegakehatekst"/>
        <w:ind w:left="0" w:firstLine="0"/>
      </w:pPr>
      <w:r w:rsidRPr="006D35B3">
        <w:rPr>
          <w:b/>
          <w:bCs/>
        </w:rPr>
        <w:t xml:space="preserve">Eelnõu </w:t>
      </w:r>
      <w:r w:rsidR="007D2F21">
        <w:rPr>
          <w:b/>
          <w:bCs/>
        </w:rPr>
        <w:t xml:space="preserve">§ 1 </w:t>
      </w:r>
      <w:r w:rsidRPr="006D35B3">
        <w:rPr>
          <w:b/>
          <w:bCs/>
        </w:rPr>
        <w:t xml:space="preserve">punktiga </w:t>
      </w:r>
      <w:r w:rsidR="00A56CE8">
        <w:rPr>
          <w:b/>
          <w:bCs/>
        </w:rPr>
        <w:t>5</w:t>
      </w:r>
      <w:r w:rsidRPr="006D35B3">
        <w:rPr>
          <w:b/>
          <w:bCs/>
        </w:rPr>
        <w:t xml:space="preserve"> </w:t>
      </w:r>
      <w:r w:rsidRPr="006D35B3">
        <w:t xml:space="preserve">muudetakse määruse § 8 pealkirja ja viidatakse laevaliiklusteenuse osutamisele VTS piirkonnas. Sõnastus viiakse vastavusse </w:t>
      </w:r>
      <w:proofErr w:type="spellStart"/>
      <w:r w:rsidRPr="006D35B3">
        <w:t>MSOS-i</w:t>
      </w:r>
      <w:proofErr w:type="spellEnd"/>
      <w:r w:rsidRPr="006D35B3">
        <w:t xml:space="preserve"> 01.05.2025 jõustunud muudatustega ja Rahvusvahelise Mereorganisatsiooni (IMO) resolutsiooniga A.1158(32), mille kohaselt sisaldab laevaliiklusteenus nii info edastamist, navigatsiooniabi kui ka võimekust organiseerida laevaliiklust.</w:t>
      </w:r>
    </w:p>
    <w:p w14:paraId="01D216A9" w14:textId="77777777" w:rsidR="00303A14" w:rsidRPr="006D35B3" w:rsidRDefault="00303A14" w:rsidP="00303A14">
      <w:pPr>
        <w:pStyle w:val="Taandegakehatekst"/>
        <w:ind w:left="0" w:firstLine="0"/>
        <w:rPr>
          <w:b/>
          <w:bCs/>
        </w:rPr>
      </w:pPr>
    </w:p>
    <w:p w14:paraId="73BC0E02" w14:textId="582F3C6C" w:rsidR="00303A14" w:rsidRDefault="00303A14" w:rsidP="00303A14">
      <w:pPr>
        <w:pStyle w:val="Taandegakehatekst"/>
        <w:ind w:left="0" w:firstLine="0"/>
      </w:pPr>
      <w:r w:rsidRPr="006D35B3">
        <w:rPr>
          <w:b/>
          <w:bCs/>
        </w:rPr>
        <w:t xml:space="preserve">Eelnõu punktidega </w:t>
      </w:r>
      <w:r w:rsidR="00A56CE8">
        <w:rPr>
          <w:b/>
          <w:bCs/>
        </w:rPr>
        <w:t>6</w:t>
      </w:r>
      <w:r w:rsidRPr="006D35B3">
        <w:rPr>
          <w:b/>
          <w:bCs/>
        </w:rPr>
        <w:t>–</w:t>
      </w:r>
      <w:r w:rsidR="00A56CE8">
        <w:rPr>
          <w:b/>
          <w:bCs/>
        </w:rPr>
        <w:t>9</w:t>
      </w:r>
      <w:r w:rsidRPr="006D35B3">
        <w:t xml:space="preserve"> täpsustatakse § 8 sõnastust. Ka need täpsustused tulenevad IMO resolutsioonist A.1158(32), kus laevaliiklusteenuseid ei liigitata enam </w:t>
      </w:r>
      <w:proofErr w:type="spellStart"/>
      <w:r w:rsidRPr="006D35B3">
        <w:t>allteenusteks</w:t>
      </w:r>
      <w:proofErr w:type="spellEnd"/>
      <w:r w:rsidRPr="006D35B3">
        <w:t xml:space="preserve"> (nagu seni olid info-, navigatsiooniabi- ja liikluse korraldamise teenused), et välistada olukordi, kus mõnes rii</w:t>
      </w:r>
      <w:r w:rsidR="00BD1909">
        <w:t>gi</w:t>
      </w:r>
      <w:r w:rsidRPr="006D35B3">
        <w:t>s piirati laevaliiklusteenuseid vaid infoteenuse osutamisega.</w:t>
      </w:r>
    </w:p>
    <w:p w14:paraId="3D27E969" w14:textId="77777777" w:rsidR="007D2F21" w:rsidRDefault="007D2F21" w:rsidP="00303A14">
      <w:pPr>
        <w:pStyle w:val="Taandegakehatekst"/>
        <w:ind w:left="0" w:firstLine="0"/>
      </w:pPr>
    </w:p>
    <w:p w14:paraId="7A5BDF94" w14:textId="726BD9E1" w:rsidR="007D2F21" w:rsidRPr="007D2F21" w:rsidRDefault="007D2F21" w:rsidP="00303A14">
      <w:pPr>
        <w:pStyle w:val="Taandegakehatekst"/>
        <w:ind w:left="0" w:firstLine="0"/>
      </w:pPr>
      <w:r>
        <w:rPr>
          <w:b/>
          <w:bCs/>
        </w:rPr>
        <w:t>Eelnõu § 2</w:t>
      </w:r>
      <w:r>
        <w:t xml:space="preserve"> on määruse § 1 punktide 1 ja 4 jõustumissäte. Need punktid on seotud direktiiviga 2025/811, mille ülevõtmise tähtaeg on 18. november 2025. a. Ülejäänud määruse sätted jõustuvad üldises korras.</w:t>
      </w:r>
    </w:p>
    <w:p w14:paraId="107260E9" w14:textId="77777777" w:rsidR="00303A14" w:rsidRPr="006D35B3" w:rsidRDefault="00303A14" w:rsidP="00303A14">
      <w:pPr>
        <w:pStyle w:val="Taandegakehatekst"/>
        <w:ind w:left="0" w:firstLine="0"/>
      </w:pPr>
    </w:p>
    <w:p w14:paraId="0B880B1A" w14:textId="77777777" w:rsidR="00303A14" w:rsidRPr="006D35B3" w:rsidRDefault="00303A14" w:rsidP="00303A14">
      <w:pPr>
        <w:rPr>
          <w:b/>
        </w:rPr>
      </w:pPr>
      <w:r w:rsidRPr="006D35B3">
        <w:rPr>
          <w:b/>
        </w:rPr>
        <w:t>3. Eelnõu vastavus Euroopa Liidu õigusele</w:t>
      </w:r>
    </w:p>
    <w:p w14:paraId="7D1E9C7D" w14:textId="77777777" w:rsidR="00303A14" w:rsidRPr="006D35B3" w:rsidRDefault="00303A14" w:rsidP="00303A14">
      <w:pPr>
        <w:rPr>
          <w:b/>
        </w:rPr>
      </w:pPr>
    </w:p>
    <w:p w14:paraId="1A666285" w14:textId="01A7CF22" w:rsidR="00303A14" w:rsidRPr="006D35B3" w:rsidRDefault="00303A14" w:rsidP="00303A14">
      <w:r w:rsidRPr="006D35B3">
        <w:t>Eelnõuga võetakse riigisisesesse õigus</w:t>
      </w:r>
      <w:r w:rsidR="007B6D8A">
        <w:t>es</w:t>
      </w:r>
      <w:r w:rsidRPr="006D35B3">
        <w:t xml:space="preserve">se üle komisjoni delegeeritud direktiiv </w:t>
      </w:r>
      <w:r w:rsidR="00BD1909">
        <w:t>(EL) </w:t>
      </w:r>
      <w:r w:rsidRPr="006D35B3">
        <w:t>2025/811, millega muudetakse Euroopa Parlamendi ja nõukogu direktiivi 2002/59/EÜ I lisa seoses laevaettekannete süsteemidele edastatava teabega. Direktiiv avaldati Euroopa Liidu Teatajas 28.04.2025 ning</w:t>
      </w:r>
      <w:r w:rsidR="00BD1909">
        <w:t xml:space="preserve"> see</w:t>
      </w:r>
      <w:r w:rsidRPr="006D35B3">
        <w:t xml:space="preserve"> jõustus 18.05.2025. Direktiivi ülevõtmise tähtaeg on </w:t>
      </w:r>
      <w:r w:rsidR="00BD1909">
        <w:t>kuus</w:t>
      </w:r>
      <w:r w:rsidRPr="006D35B3">
        <w:t xml:space="preserve"> kuud pärast selle jõustumist, st 18.11.2025.</w:t>
      </w:r>
    </w:p>
    <w:p w14:paraId="64DE4C93" w14:textId="77777777" w:rsidR="00303A14" w:rsidRPr="006D35B3" w:rsidRDefault="00303A14" w:rsidP="00303A14">
      <w:r w:rsidRPr="006D35B3">
        <w:t>Direktiivi ja riigisisese õiguse vastavustabel on esitatud seletuskirja lisas.</w:t>
      </w:r>
    </w:p>
    <w:p w14:paraId="3F2C8F73" w14:textId="77777777" w:rsidR="00303A14" w:rsidRPr="006D35B3" w:rsidRDefault="00303A14" w:rsidP="00303A14">
      <w:pPr>
        <w:rPr>
          <w:highlight w:val="yellow"/>
        </w:rPr>
      </w:pPr>
    </w:p>
    <w:p w14:paraId="2B8805C5" w14:textId="77777777" w:rsidR="00303A14" w:rsidRPr="006D35B3" w:rsidRDefault="00303A14" w:rsidP="00303A14">
      <w:pPr>
        <w:rPr>
          <w:b/>
        </w:rPr>
      </w:pPr>
      <w:r w:rsidRPr="006D35B3">
        <w:rPr>
          <w:b/>
        </w:rPr>
        <w:t>4. Määruse mõjud</w:t>
      </w:r>
    </w:p>
    <w:p w14:paraId="1C522BFD" w14:textId="77777777" w:rsidR="00303A14" w:rsidRPr="006D35B3" w:rsidRDefault="00303A14" w:rsidP="00303A14"/>
    <w:p w14:paraId="176E3F16" w14:textId="4269FE97" w:rsidR="00303A14" w:rsidRPr="006D35B3" w:rsidRDefault="00303A14" w:rsidP="00303A14">
      <w:r w:rsidRPr="006D35B3">
        <w:t xml:space="preserve">Määrusel puudub sotsiaalne, sealhulgas demograafiline mõju, </w:t>
      </w:r>
      <w:r w:rsidR="005A5396">
        <w:t xml:space="preserve">samuti mõju </w:t>
      </w:r>
      <w:r w:rsidRPr="006D35B3">
        <w:t>majandusele, regionaalarengule ja riigiasutuste ja kohaliku omavalitsuse asutuste korraldusele ning kuludele ja tuludele.</w:t>
      </w:r>
    </w:p>
    <w:p w14:paraId="7B76EEFA" w14:textId="77777777" w:rsidR="00303A14" w:rsidRPr="006D35B3" w:rsidRDefault="00303A14" w:rsidP="00303A14"/>
    <w:p w14:paraId="1CBAF1AC" w14:textId="000CE711" w:rsidR="00303A14" w:rsidRPr="006D35B3" w:rsidRDefault="00303A14" w:rsidP="00303A14">
      <w:r w:rsidRPr="006D35B3">
        <w:t>Määrusel võib olla positiivne mõju keskkonnale. Määrus mõjutab laevu, mis sisenevad VTS piirkonda, kuid ei sisene Eesti sadamasse. Tegemist on üldjuhul laevadega, mis suunduvad Venemaal asuvatesse sadamatesse. Nende laevade juhid peavad Transpordiametile edastama direktiivi 2025/811 kohaselt nõutava tea</w:t>
      </w:r>
      <w:r w:rsidR="00554FB2">
        <w:t>b</w:t>
      </w:r>
      <w:r w:rsidRPr="006D35B3">
        <w:t xml:space="preserve">e, milleks on info asjaomaste kindlustustunnistuste olemasolu kohta. Teabe edastamine toimub e-posti teel. </w:t>
      </w:r>
      <w:bookmarkStart w:id="3" w:name="_Hlk207897161"/>
      <w:r w:rsidRPr="006D35B3">
        <w:t xml:space="preserve">See </w:t>
      </w:r>
      <w:r w:rsidR="00554FB2">
        <w:t xml:space="preserve">aitab </w:t>
      </w:r>
      <w:r w:rsidRPr="006D35B3">
        <w:t>parandada meresõiduohutust ja reostuseks valmisolekut ning võimalda</w:t>
      </w:r>
      <w:r w:rsidR="00554FB2">
        <w:t>b</w:t>
      </w:r>
      <w:r w:rsidRPr="006D35B3">
        <w:t xml:space="preserve"> Eestil rannikuriigina senisest tõhusamalt mereliiklust</w:t>
      </w:r>
      <w:r w:rsidR="00554FB2">
        <w:t xml:space="preserve"> </w:t>
      </w:r>
      <w:r w:rsidR="00554FB2" w:rsidRPr="006D35B3">
        <w:t>jälgida</w:t>
      </w:r>
      <w:r w:rsidRPr="006D35B3">
        <w:t>.</w:t>
      </w:r>
      <w:bookmarkEnd w:id="3"/>
    </w:p>
    <w:p w14:paraId="4AD608E8" w14:textId="1B9867B7" w:rsidR="00303A14" w:rsidRPr="006D35B3" w:rsidRDefault="00303A14" w:rsidP="00303A14">
      <w:r w:rsidRPr="006D35B3">
        <w:t xml:space="preserve">Määrus tõstab vähesel määral Transpordiameti töökoormust, </w:t>
      </w:r>
      <w:bookmarkStart w:id="4" w:name="_Hlk207897081"/>
      <w:r w:rsidRPr="006D35B3">
        <w:t>kuid ei eelda muudatusi ega ümberkorraldusi ameti tegevuses.</w:t>
      </w:r>
    </w:p>
    <w:bookmarkEnd w:id="4"/>
    <w:p w14:paraId="102099AE" w14:textId="77777777" w:rsidR="00303A14" w:rsidRPr="006D35B3" w:rsidRDefault="00303A14" w:rsidP="00303A14">
      <w:pPr>
        <w:rPr>
          <w:highlight w:val="yellow"/>
        </w:rPr>
      </w:pPr>
    </w:p>
    <w:p w14:paraId="4DB4632E" w14:textId="77777777" w:rsidR="00303A14" w:rsidRPr="006D35B3" w:rsidRDefault="00303A14" w:rsidP="00303A14">
      <w:pPr>
        <w:rPr>
          <w:b/>
        </w:rPr>
      </w:pPr>
      <w:r w:rsidRPr="006D35B3">
        <w:rPr>
          <w:b/>
        </w:rPr>
        <w:t>5. Määruse rakendamisega seotud tegevused, vajalikud kulud ja määruse rakendamise eeldatavad tulud</w:t>
      </w:r>
    </w:p>
    <w:p w14:paraId="1C4DB3AE" w14:textId="77777777" w:rsidR="00303A14" w:rsidRPr="006D35B3" w:rsidRDefault="00303A14" w:rsidP="00303A14"/>
    <w:p w14:paraId="6BF2D720" w14:textId="2594C2FA" w:rsidR="00303A14" w:rsidRPr="006D35B3" w:rsidRDefault="00303A14" w:rsidP="00303A14">
      <w:r w:rsidRPr="006D35B3">
        <w:t xml:space="preserve">Riigile ega ettevõtjatele lisakulusid ega tulusid ei kaasne. Samuti ei kaasne määruse rakendamisega </w:t>
      </w:r>
      <w:r w:rsidR="00554FB2">
        <w:t>lisa</w:t>
      </w:r>
      <w:r w:rsidRPr="006D35B3">
        <w:t>tegevusi.</w:t>
      </w:r>
    </w:p>
    <w:p w14:paraId="5E33DA50" w14:textId="77777777" w:rsidR="00303A14" w:rsidRPr="006D35B3" w:rsidRDefault="00303A14" w:rsidP="00303A14"/>
    <w:p w14:paraId="064B1A4A" w14:textId="77777777" w:rsidR="00303A14" w:rsidRPr="006D35B3" w:rsidRDefault="00303A14" w:rsidP="00303A14">
      <w:pPr>
        <w:rPr>
          <w:b/>
        </w:rPr>
      </w:pPr>
      <w:r w:rsidRPr="006D35B3">
        <w:rPr>
          <w:b/>
        </w:rPr>
        <w:t>6. Määruse jõustumine</w:t>
      </w:r>
    </w:p>
    <w:p w14:paraId="0A3C3997" w14:textId="77777777" w:rsidR="00303A14" w:rsidRPr="006D35B3" w:rsidRDefault="00303A14" w:rsidP="00303A14">
      <w:pPr>
        <w:pStyle w:val="Kehatekst21"/>
        <w:autoSpaceDE/>
      </w:pPr>
    </w:p>
    <w:p w14:paraId="437A0BE1" w14:textId="079B4F38" w:rsidR="00303A14" w:rsidRPr="006D35B3" w:rsidRDefault="00303A14" w:rsidP="00303A14">
      <w:pPr>
        <w:pStyle w:val="Kehatekst21"/>
        <w:autoSpaceDE/>
        <w:autoSpaceDN w:val="0"/>
      </w:pPr>
      <w:r w:rsidRPr="006D35B3">
        <w:t>Määrus jõustub üld</w:t>
      </w:r>
      <w:r w:rsidR="00554FB2">
        <w:t xml:space="preserve">ises </w:t>
      </w:r>
      <w:r w:rsidRPr="006D35B3">
        <w:t>korras</w:t>
      </w:r>
      <w:r w:rsidR="007D2F21">
        <w:t>.</w:t>
      </w:r>
      <w:r w:rsidRPr="006D35B3">
        <w:t xml:space="preserve"> </w:t>
      </w:r>
      <w:r w:rsidR="007D2F21">
        <w:t xml:space="preserve">Määruse § 1 punktid 1 ja 4 jõustuvad 18. novembril 2025. a, </w:t>
      </w:r>
      <w:r w:rsidRPr="006D35B3">
        <w:t>arvestades direktiivi 2025/811 ülevõtmise tähtaega.</w:t>
      </w:r>
    </w:p>
    <w:p w14:paraId="3C268F27" w14:textId="77777777" w:rsidR="00303A14" w:rsidRPr="006D35B3" w:rsidRDefault="00303A14" w:rsidP="00303A14">
      <w:pPr>
        <w:pStyle w:val="Kehatekst21"/>
        <w:autoSpaceDE/>
      </w:pPr>
    </w:p>
    <w:p w14:paraId="2E4EB1E5" w14:textId="77777777" w:rsidR="00303A14" w:rsidRPr="006D35B3" w:rsidRDefault="00303A14" w:rsidP="00303A14">
      <w:pPr>
        <w:rPr>
          <w:b/>
        </w:rPr>
      </w:pPr>
      <w:r w:rsidRPr="006D35B3">
        <w:rPr>
          <w:b/>
        </w:rPr>
        <w:t>7. Eelnõu kooskõlastamine, huvirühmade kaasamine ja avalik konsultatsioon</w:t>
      </w:r>
    </w:p>
    <w:p w14:paraId="1C0B7928" w14:textId="77777777" w:rsidR="00303A14" w:rsidRPr="006D35B3" w:rsidRDefault="00303A14" w:rsidP="00303A14"/>
    <w:p w14:paraId="44DD99C8" w14:textId="631B0381" w:rsidR="005D7B88" w:rsidRPr="006D35B3" w:rsidRDefault="00303A14" w:rsidP="00303A14">
      <w:r w:rsidRPr="006D35B3">
        <w:t>Eelnõu esitatakse eelnõude infosüsteemi (EIS) kaudu kooskõlastamiseks Siseministeeriumile ja Kaitseministeeriumile.</w:t>
      </w:r>
    </w:p>
    <w:p w14:paraId="1E6260D4" w14:textId="77777777" w:rsidR="005D7B88" w:rsidRPr="006D35B3" w:rsidRDefault="005D7B88">
      <w:pPr>
        <w:suppressAutoHyphens w:val="0"/>
        <w:spacing w:after="160" w:line="259" w:lineRule="auto"/>
        <w:jc w:val="left"/>
      </w:pPr>
      <w:r w:rsidRPr="006D35B3">
        <w:br w:type="page"/>
      </w:r>
    </w:p>
    <w:p w14:paraId="55853934" w14:textId="2DB4B295" w:rsidR="005D7B88" w:rsidRPr="006D35B3" w:rsidRDefault="005D7B88" w:rsidP="00554FB2">
      <w:pPr>
        <w:suppressAutoHyphens w:val="0"/>
        <w:autoSpaceDE w:val="0"/>
        <w:autoSpaceDN w:val="0"/>
        <w:adjustRightInd w:val="0"/>
        <w:jc w:val="right"/>
        <w:rPr>
          <w:rFonts w:eastAsiaTheme="minorHAnsi"/>
          <w:color w:val="000000"/>
          <w:lang w:eastAsia="en-US"/>
        </w:rPr>
      </w:pPr>
      <w:r w:rsidRPr="006D35B3">
        <w:rPr>
          <w:rFonts w:eastAsiaTheme="minorHAnsi"/>
          <w:color w:val="000000"/>
          <w:lang w:eastAsia="en-US"/>
        </w:rPr>
        <w:lastRenderedPageBreak/>
        <w:t xml:space="preserve">Majandus- ja taristuministri 30. augusti 2019. a </w:t>
      </w:r>
    </w:p>
    <w:p w14:paraId="0C416EFE" w14:textId="77777777" w:rsidR="005D7B88" w:rsidRPr="006D35B3" w:rsidRDefault="005D7B88" w:rsidP="005D7B88">
      <w:pPr>
        <w:suppressAutoHyphens w:val="0"/>
        <w:autoSpaceDE w:val="0"/>
        <w:autoSpaceDN w:val="0"/>
        <w:adjustRightInd w:val="0"/>
        <w:jc w:val="right"/>
        <w:rPr>
          <w:rFonts w:eastAsiaTheme="minorHAnsi"/>
          <w:color w:val="000000"/>
          <w:lang w:eastAsia="en-US"/>
        </w:rPr>
      </w:pPr>
      <w:r w:rsidRPr="006D35B3">
        <w:rPr>
          <w:rFonts w:eastAsiaTheme="minorHAnsi"/>
          <w:color w:val="000000"/>
          <w:lang w:eastAsia="en-US"/>
        </w:rPr>
        <w:t xml:space="preserve">määruse nr 55 „Laevaliikluse korraldamise süsteemi </w:t>
      </w:r>
    </w:p>
    <w:p w14:paraId="0760B28F" w14:textId="77777777" w:rsidR="005D7B88" w:rsidRPr="006D35B3" w:rsidRDefault="005D7B88" w:rsidP="005D7B88">
      <w:pPr>
        <w:suppressAutoHyphens w:val="0"/>
        <w:autoSpaceDE w:val="0"/>
        <w:autoSpaceDN w:val="0"/>
        <w:adjustRightInd w:val="0"/>
        <w:jc w:val="right"/>
        <w:rPr>
          <w:rFonts w:eastAsiaTheme="minorHAnsi"/>
          <w:color w:val="000000"/>
          <w:lang w:eastAsia="en-US"/>
        </w:rPr>
      </w:pPr>
      <w:r w:rsidRPr="006D35B3">
        <w:rPr>
          <w:rFonts w:eastAsiaTheme="minorHAnsi"/>
          <w:color w:val="000000"/>
          <w:lang w:eastAsia="en-US"/>
        </w:rPr>
        <w:t xml:space="preserve">tööpiirkonna piirid, liiklemise ning teadete </w:t>
      </w:r>
    </w:p>
    <w:p w14:paraId="49A331C6" w14:textId="2DA7F6CE" w:rsidR="005D7B88" w:rsidRPr="006D35B3" w:rsidRDefault="005D7B88" w:rsidP="005D7B88">
      <w:pPr>
        <w:suppressAutoHyphens w:val="0"/>
        <w:autoSpaceDE w:val="0"/>
        <w:autoSpaceDN w:val="0"/>
        <w:adjustRightInd w:val="0"/>
        <w:jc w:val="right"/>
        <w:rPr>
          <w:rFonts w:eastAsiaTheme="minorHAnsi"/>
          <w:color w:val="000000"/>
          <w:lang w:eastAsia="en-US"/>
        </w:rPr>
      </w:pPr>
      <w:r w:rsidRPr="006D35B3">
        <w:rPr>
          <w:rFonts w:eastAsiaTheme="minorHAnsi"/>
          <w:color w:val="000000"/>
          <w:lang w:eastAsia="en-US"/>
        </w:rPr>
        <w:t>ja informatsiooni edastamise kord“ muutmi</w:t>
      </w:r>
      <w:r w:rsidR="00554FB2">
        <w:rPr>
          <w:rFonts w:eastAsiaTheme="minorHAnsi"/>
          <w:color w:val="000000"/>
          <w:lang w:eastAsia="en-US"/>
        </w:rPr>
        <w:t>se määruse</w:t>
      </w:r>
    </w:p>
    <w:p w14:paraId="06A484E8" w14:textId="72CFC51A" w:rsidR="005D7B88" w:rsidRPr="006D35B3" w:rsidRDefault="005D7B88" w:rsidP="005D7B88">
      <w:pPr>
        <w:suppressAutoHyphens w:val="0"/>
        <w:autoSpaceDE w:val="0"/>
        <w:autoSpaceDN w:val="0"/>
        <w:adjustRightInd w:val="0"/>
        <w:jc w:val="right"/>
        <w:rPr>
          <w:rFonts w:eastAsiaTheme="minorHAnsi"/>
          <w:color w:val="000000"/>
          <w:lang w:eastAsia="en-US"/>
        </w:rPr>
      </w:pPr>
      <w:r w:rsidRPr="006D35B3">
        <w:rPr>
          <w:rFonts w:eastAsiaTheme="minorHAnsi"/>
          <w:color w:val="000000"/>
          <w:lang w:eastAsia="en-US"/>
        </w:rPr>
        <w:t>eelnõu seletuskirja lisa</w:t>
      </w:r>
    </w:p>
    <w:p w14:paraId="3F296D3F" w14:textId="7056B679" w:rsidR="005D7B88" w:rsidRPr="006D35B3" w:rsidRDefault="005D7B88" w:rsidP="005D7B88">
      <w:pPr>
        <w:suppressAutoHyphens w:val="0"/>
        <w:autoSpaceDE w:val="0"/>
        <w:autoSpaceDN w:val="0"/>
        <w:adjustRightInd w:val="0"/>
        <w:spacing w:before="200" w:after="200"/>
        <w:jc w:val="center"/>
        <w:rPr>
          <w:rFonts w:eastAsiaTheme="minorHAnsi"/>
          <w:b/>
          <w:bCs/>
          <w:color w:val="000000"/>
          <w:lang w:eastAsia="en-US"/>
        </w:rPr>
      </w:pPr>
      <w:r w:rsidRPr="006D35B3">
        <w:rPr>
          <w:rFonts w:eastAsiaTheme="minorHAnsi"/>
          <w:b/>
          <w:bCs/>
          <w:color w:val="000000"/>
          <w:lang w:eastAsia="en-US"/>
        </w:rPr>
        <w:t>Komisjoni delegeeritud direktiivi (EL) 2025/811, 19. veebruar 2025,</w:t>
      </w:r>
      <w:r w:rsidRPr="006D35B3">
        <w:rPr>
          <w:rFonts w:eastAsiaTheme="minorHAnsi"/>
          <w:lang w:eastAsia="en-US"/>
        </w:rPr>
        <w:t xml:space="preserve"> </w:t>
      </w:r>
      <w:r w:rsidRPr="006D35B3">
        <w:rPr>
          <w:rFonts w:eastAsiaTheme="minorHAnsi"/>
          <w:b/>
          <w:bCs/>
          <w:color w:val="000000"/>
          <w:lang w:eastAsia="en-US"/>
        </w:rPr>
        <w:t>millega muudetakse Euroopa Parlamendi ja nõukogu direktiivi 2002/59/EÜ I lisa seoses laevaettekannete süsteemidele edastatava teabega, ja riigisisese õiguse vastavustabel</w:t>
      </w:r>
    </w:p>
    <w:tbl>
      <w:tblPr>
        <w:tblStyle w:val="Helekontuurtabel"/>
        <w:tblpPr w:leftFromText="141" w:rightFromText="141" w:vertAnchor="text" w:horzAnchor="margin" w:tblpXSpec="center" w:tblpY="16"/>
        <w:tblW w:w="10632" w:type="dxa"/>
        <w:tblLayout w:type="fixed"/>
        <w:tblLook w:val="0000" w:firstRow="0" w:lastRow="0" w:firstColumn="0" w:lastColumn="0" w:noHBand="0" w:noVBand="0"/>
      </w:tblPr>
      <w:tblGrid>
        <w:gridCol w:w="1557"/>
        <w:gridCol w:w="1699"/>
        <w:gridCol w:w="1701"/>
        <w:gridCol w:w="2416"/>
        <w:gridCol w:w="3259"/>
      </w:tblGrid>
      <w:tr w:rsidR="005D7B88" w:rsidRPr="006D35B3" w14:paraId="6F996D70" w14:textId="77777777" w:rsidTr="00000616">
        <w:trPr>
          <w:trHeight w:val="443"/>
        </w:trPr>
        <w:tc>
          <w:tcPr>
            <w:tcW w:w="1557" w:type="dxa"/>
            <w:vMerge w:val="restart"/>
          </w:tcPr>
          <w:p w14:paraId="3350E7A0" w14:textId="77777777" w:rsidR="005D7B88" w:rsidRPr="006D35B3" w:rsidRDefault="005D7B88" w:rsidP="005D7B88">
            <w:pPr>
              <w:suppressAutoHyphens w:val="0"/>
              <w:snapToGrid w:val="0"/>
              <w:jc w:val="left"/>
              <w:rPr>
                <w:rFonts w:eastAsiaTheme="minorHAnsi"/>
                <w:b/>
                <w:bCs/>
                <w:lang w:eastAsia="en-US"/>
              </w:rPr>
            </w:pPr>
            <w:r w:rsidRPr="006D35B3">
              <w:rPr>
                <w:rFonts w:eastAsiaTheme="minorHAnsi"/>
                <w:b/>
                <w:bCs/>
                <w:lang w:eastAsia="en-US"/>
              </w:rPr>
              <w:t>EL-i direktiivi norm</w:t>
            </w:r>
          </w:p>
          <w:p w14:paraId="41D2A184" w14:textId="77777777" w:rsidR="005D7B88" w:rsidRPr="006D35B3" w:rsidRDefault="005D7B88" w:rsidP="005D7B88">
            <w:pPr>
              <w:suppressAutoHyphens w:val="0"/>
              <w:snapToGrid w:val="0"/>
              <w:jc w:val="left"/>
              <w:rPr>
                <w:rFonts w:eastAsiaTheme="minorHAnsi"/>
                <w:b/>
                <w:bCs/>
                <w:lang w:eastAsia="en-US"/>
              </w:rPr>
            </w:pPr>
            <w:r w:rsidRPr="006D35B3">
              <w:rPr>
                <w:rFonts w:eastAsiaTheme="minorHAnsi"/>
                <w:b/>
                <w:bCs/>
                <w:lang w:eastAsia="en-US"/>
              </w:rPr>
              <w:t>(Artikkel, lõige, punkt)</w:t>
            </w:r>
          </w:p>
        </w:tc>
        <w:tc>
          <w:tcPr>
            <w:tcW w:w="1699" w:type="dxa"/>
            <w:vMerge w:val="restart"/>
          </w:tcPr>
          <w:p w14:paraId="488B2E3A" w14:textId="77777777" w:rsidR="005D7B88" w:rsidRPr="006D35B3" w:rsidRDefault="005D7B88" w:rsidP="005D7B88">
            <w:pPr>
              <w:suppressAutoHyphens w:val="0"/>
              <w:snapToGrid w:val="0"/>
              <w:jc w:val="left"/>
              <w:rPr>
                <w:rFonts w:eastAsiaTheme="minorHAnsi"/>
                <w:b/>
                <w:bCs/>
                <w:lang w:eastAsia="en-US"/>
              </w:rPr>
            </w:pPr>
            <w:r w:rsidRPr="006D35B3">
              <w:rPr>
                <w:rFonts w:eastAsiaTheme="minorHAnsi"/>
                <w:b/>
                <w:bCs/>
                <w:lang w:eastAsia="en-US"/>
              </w:rPr>
              <w:t>EL-i direktiivi normi ülevõtmise kohustus (jah /ei/valikuline)</w:t>
            </w:r>
          </w:p>
        </w:tc>
        <w:tc>
          <w:tcPr>
            <w:tcW w:w="4117" w:type="dxa"/>
            <w:gridSpan w:val="2"/>
          </w:tcPr>
          <w:p w14:paraId="1E7948C7" w14:textId="77777777" w:rsidR="005D7B88" w:rsidRPr="006D35B3" w:rsidRDefault="005D7B88" w:rsidP="005D7B88">
            <w:pPr>
              <w:suppressAutoHyphens w:val="0"/>
              <w:snapToGrid w:val="0"/>
              <w:jc w:val="left"/>
              <w:rPr>
                <w:rFonts w:eastAsiaTheme="minorHAnsi"/>
                <w:b/>
                <w:bCs/>
                <w:lang w:eastAsia="en-US"/>
              </w:rPr>
            </w:pPr>
            <w:r w:rsidRPr="006D35B3">
              <w:rPr>
                <w:rFonts w:eastAsiaTheme="minorHAnsi"/>
                <w:b/>
                <w:bCs/>
                <w:lang w:eastAsia="en-US"/>
              </w:rPr>
              <w:t>EL-i direktiivi normi sisuliseks rakendamiseks kehtestatavad riigisisesed õigusaktid</w:t>
            </w:r>
          </w:p>
        </w:tc>
        <w:tc>
          <w:tcPr>
            <w:tcW w:w="3259" w:type="dxa"/>
            <w:vMerge w:val="restart"/>
          </w:tcPr>
          <w:p w14:paraId="2DE9CEBD" w14:textId="6EE86420" w:rsidR="005D7B88" w:rsidRPr="006D35B3" w:rsidRDefault="005D7B88" w:rsidP="005D7B88">
            <w:pPr>
              <w:suppressAutoHyphens w:val="0"/>
              <w:snapToGrid w:val="0"/>
              <w:jc w:val="left"/>
              <w:rPr>
                <w:rFonts w:eastAsiaTheme="minorHAnsi"/>
                <w:b/>
                <w:bCs/>
                <w:lang w:eastAsia="en-US"/>
              </w:rPr>
            </w:pPr>
            <w:r w:rsidRPr="006D35B3">
              <w:rPr>
                <w:rFonts w:eastAsiaTheme="minorHAnsi"/>
                <w:b/>
                <w:bCs/>
                <w:lang w:eastAsia="en-US"/>
              </w:rPr>
              <w:t>Kommentaarid</w:t>
            </w:r>
          </w:p>
          <w:p w14:paraId="7DACF755" w14:textId="77777777" w:rsidR="005D7B88" w:rsidRPr="006D35B3" w:rsidRDefault="005D7B88" w:rsidP="005D7B88">
            <w:pPr>
              <w:suppressAutoHyphens w:val="0"/>
              <w:snapToGrid w:val="0"/>
              <w:jc w:val="left"/>
              <w:rPr>
                <w:rFonts w:eastAsiaTheme="minorHAnsi"/>
                <w:b/>
                <w:bCs/>
                <w:lang w:eastAsia="en-US"/>
              </w:rPr>
            </w:pPr>
            <w:r w:rsidRPr="006D35B3">
              <w:rPr>
                <w:rFonts w:eastAsiaTheme="minorHAnsi"/>
                <w:b/>
                <w:bCs/>
                <w:lang w:eastAsia="en-US"/>
              </w:rPr>
              <w:t xml:space="preserve">Kooskõlla viimise tähtaeg: </w:t>
            </w:r>
            <w:r w:rsidRPr="006D35B3">
              <w:rPr>
                <w:rFonts w:eastAsiaTheme="minorHAnsi"/>
                <w:lang w:eastAsia="en-US"/>
              </w:rPr>
              <w:t>18. november 2025, direktiivi ülevõtmise tähtaeg.</w:t>
            </w:r>
          </w:p>
        </w:tc>
      </w:tr>
      <w:tr w:rsidR="005D7B88" w:rsidRPr="006D35B3" w14:paraId="6F1AA6D7" w14:textId="77777777" w:rsidTr="00000616">
        <w:trPr>
          <w:trHeight w:val="495"/>
        </w:trPr>
        <w:tc>
          <w:tcPr>
            <w:tcW w:w="1557" w:type="dxa"/>
            <w:vMerge/>
          </w:tcPr>
          <w:p w14:paraId="6C0861BD" w14:textId="77777777" w:rsidR="005D7B88" w:rsidRPr="006D35B3" w:rsidRDefault="005D7B88" w:rsidP="005D7B88">
            <w:pPr>
              <w:suppressAutoHyphens w:val="0"/>
              <w:snapToGrid w:val="0"/>
              <w:jc w:val="left"/>
              <w:rPr>
                <w:rFonts w:eastAsiaTheme="minorHAnsi"/>
                <w:b/>
                <w:bCs/>
                <w:lang w:eastAsia="en-US"/>
              </w:rPr>
            </w:pPr>
          </w:p>
        </w:tc>
        <w:tc>
          <w:tcPr>
            <w:tcW w:w="1699" w:type="dxa"/>
            <w:vMerge/>
          </w:tcPr>
          <w:p w14:paraId="189A79D6" w14:textId="77777777" w:rsidR="005D7B88" w:rsidRPr="006D35B3" w:rsidRDefault="005D7B88" w:rsidP="005D7B88">
            <w:pPr>
              <w:suppressAutoHyphens w:val="0"/>
              <w:snapToGrid w:val="0"/>
              <w:jc w:val="left"/>
              <w:rPr>
                <w:rFonts w:eastAsiaTheme="minorHAnsi"/>
                <w:b/>
                <w:bCs/>
                <w:lang w:eastAsia="en-US"/>
              </w:rPr>
            </w:pPr>
          </w:p>
        </w:tc>
        <w:tc>
          <w:tcPr>
            <w:tcW w:w="1701" w:type="dxa"/>
          </w:tcPr>
          <w:p w14:paraId="7940C90D" w14:textId="77777777" w:rsidR="005D7B88" w:rsidRPr="006D35B3" w:rsidRDefault="005D7B88" w:rsidP="005D7B88">
            <w:pPr>
              <w:suppressAutoHyphens w:val="0"/>
              <w:snapToGrid w:val="0"/>
              <w:jc w:val="left"/>
              <w:rPr>
                <w:rFonts w:eastAsiaTheme="minorHAnsi"/>
                <w:b/>
                <w:bCs/>
                <w:lang w:eastAsia="en-US"/>
              </w:rPr>
            </w:pPr>
            <w:r w:rsidRPr="006D35B3">
              <w:rPr>
                <w:rFonts w:eastAsiaTheme="minorHAnsi"/>
                <w:b/>
                <w:bCs/>
                <w:lang w:eastAsia="en-US"/>
              </w:rPr>
              <w:t>Paragrahv, lõige, punkt</w:t>
            </w:r>
          </w:p>
        </w:tc>
        <w:tc>
          <w:tcPr>
            <w:tcW w:w="2416" w:type="dxa"/>
          </w:tcPr>
          <w:p w14:paraId="456DEE69" w14:textId="77777777" w:rsidR="005D7B88" w:rsidRPr="006D35B3" w:rsidRDefault="005D7B88" w:rsidP="005D7B88">
            <w:pPr>
              <w:suppressAutoHyphens w:val="0"/>
              <w:snapToGrid w:val="0"/>
              <w:jc w:val="left"/>
              <w:rPr>
                <w:rFonts w:eastAsiaTheme="minorHAnsi"/>
                <w:b/>
                <w:bCs/>
                <w:lang w:eastAsia="en-US"/>
              </w:rPr>
            </w:pPr>
            <w:r w:rsidRPr="006D35B3">
              <w:rPr>
                <w:rFonts w:eastAsiaTheme="minorHAnsi"/>
                <w:b/>
                <w:bCs/>
                <w:lang w:eastAsia="en-US"/>
              </w:rPr>
              <w:t>Pealkiri</w:t>
            </w:r>
          </w:p>
        </w:tc>
        <w:tc>
          <w:tcPr>
            <w:tcW w:w="3259" w:type="dxa"/>
            <w:vMerge/>
          </w:tcPr>
          <w:p w14:paraId="25600132" w14:textId="77777777" w:rsidR="005D7B88" w:rsidRPr="006D35B3" w:rsidRDefault="005D7B88" w:rsidP="005D7B88">
            <w:pPr>
              <w:suppressAutoHyphens w:val="0"/>
              <w:snapToGrid w:val="0"/>
              <w:jc w:val="left"/>
              <w:rPr>
                <w:rFonts w:eastAsiaTheme="minorHAnsi"/>
                <w:b/>
                <w:bCs/>
                <w:lang w:eastAsia="en-US"/>
              </w:rPr>
            </w:pPr>
          </w:p>
        </w:tc>
      </w:tr>
      <w:tr w:rsidR="005D7B88" w:rsidRPr="006D35B3" w14:paraId="27E6399D" w14:textId="77777777" w:rsidTr="00000616">
        <w:trPr>
          <w:trHeight w:val="56"/>
        </w:trPr>
        <w:tc>
          <w:tcPr>
            <w:tcW w:w="1557" w:type="dxa"/>
          </w:tcPr>
          <w:p w14:paraId="6C7F717A" w14:textId="77777777" w:rsidR="005D7B88" w:rsidRPr="006D35B3" w:rsidRDefault="005D7B88" w:rsidP="005D7B88">
            <w:pPr>
              <w:suppressAutoHyphens w:val="0"/>
              <w:snapToGrid w:val="0"/>
              <w:jc w:val="left"/>
              <w:rPr>
                <w:rFonts w:eastAsiaTheme="minorHAnsi"/>
                <w:b/>
                <w:bCs/>
                <w:lang w:eastAsia="en-US"/>
              </w:rPr>
            </w:pPr>
            <w:r w:rsidRPr="006D35B3">
              <w:rPr>
                <w:rFonts w:eastAsiaTheme="minorHAnsi"/>
                <w:b/>
                <w:bCs/>
                <w:lang w:eastAsia="en-US"/>
              </w:rPr>
              <w:t>Art 1</w:t>
            </w:r>
          </w:p>
        </w:tc>
        <w:tc>
          <w:tcPr>
            <w:tcW w:w="1699" w:type="dxa"/>
          </w:tcPr>
          <w:p w14:paraId="70313A65" w14:textId="77777777" w:rsidR="005D7B88" w:rsidRPr="006D35B3" w:rsidRDefault="005D7B88" w:rsidP="005D7B88">
            <w:pPr>
              <w:suppressAutoHyphens w:val="0"/>
              <w:snapToGrid w:val="0"/>
              <w:jc w:val="left"/>
              <w:rPr>
                <w:rFonts w:eastAsiaTheme="minorHAnsi"/>
                <w:lang w:eastAsia="en-US"/>
              </w:rPr>
            </w:pPr>
            <w:r w:rsidRPr="006D35B3">
              <w:rPr>
                <w:rFonts w:eastAsiaTheme="minorHAnsi"/>
                <w:lang w:eastAsia="en-US"/>
              </w:rPr>
              <w:t>Jah</w:t>
            </w:r>
          </w:p>
        </w:tc>
        <w:tc>
          <w:tcPr>
            <w:tcW w:w="1701" w:type="dxa"/>
          </w:tcPr>
          <w:p w14:paraId="2B9A363E" w14:textId="4D87DBFF" w:rsidR="005D7B88" w:rsidRPr="006D35B3" w:rsidRDefault="005D7B88" w:rsidP="005D7B88">
            <w:pPr>
              <w:suppressAutoHyphens w:val="0"/>
              <w:snapToGrid w:val="0"/>
              <w:jc w:val="left"/>
              <w:rPr>
                <w:rFonts w:eastAsiaTheme="minorHAnsi"/>
                <w:lang w:eastAsia="en-US"/>
              </w:rPr>
            </w:pPr>
            <w:r w:rsidRPr="006D35B3">
              <w:rPr>
                <w:rFonts w:eastAsiaTheme="minorHAnsi"/>
                <w:lang w:eastAsia="en-US"/>
              </w:rPr>
              <w:t>§ 4 lg 5 (eelnõu punkt 3)</w:t>
            </w:r>
            <w:r w:rsidR="007B6D8A">
              <w:rPr>
                <w:rFonts w:eastAsiaTheme="minorHAnsi"/>
                <w:lang w:eastAsia="en-US"/>
              </w:rPr>
              <w:t>.</w:t>
            </w:r>
          </w:p>
        </w:tc>
        <w:tc>
          <w:tcPr>
            <w:tcW w:w="2416" w:type="dxa"/>
          </w:tcPr>
          <w:p w14:paraId="561FC49C" w14:textId="0B8ECC02" w:rsidR="005D7B88" w:rsidRPr="006D35B3" w:rsidRDefault="005D7B88" w:rsidP="005D7B88">
            <w:pPr>
              <w:suppressAutoHyphens w:val="0"/>
              <w:snapToGrid w:val="0"/>
              <w:jc w:val="left"/>
              <w:rPr>
                <w:rFonts w:eastAsiaTheme="minorHAnsi"/>
                <w:lang w:eastAsia="en-US"/>
              </w:rPr>
            </w:pPr>
            <w:r w:rsidRPr="006D35B3">
              <w:rPr>
                <w:rFonts w:eastAsiaTheme="minorHAnsi"/>
                <w:lang w:eastAsia="en-US"/>
              </w:rPr>
              <w:t xml:space="preserve">Majandus- ja taristuministri 30.08.2019. a määrus nr 55 „Laevaliikluse korraldamise süsteemi tööpiirkonna piirid, liiklemise ning teadete ja informatsiooni edastamise kord“ (edaspidi </w:t>
            </w:r>
            <w:r w:rsidRPr="005A5396">
              <w:rPr>
                <w:rFonts w:eastAsiaTheme="minorHAnsi"/>
                <w:i/>
                <w:iCs/>
                <w:lang w:eastAsia="en-US"/>
              </w:rPr>
              <w:t>määrus</w:t>
            </w:r>
            <w:r w:rsidRPr="006D35B3">
              <w:rPr>
                <w:rFonts w:eastAsiaTheme="minorHAnsi"/>
                <w:lang w:eastAsia="en-US"/>
              </w:rPr>
              <w:t xml:space="preserve">; </w:t>
            </w:r>
            <w:hyperlink r:id="rId12" w:history="1">
              <w:r w:rsidRPr="006D35B3">
                <w:rPr>
                  <w:rFonts w:eastAsiaTheme="minorHAnsi"/>
                  <w:color w:val="0563C1" w:themeColor="hyperlink"/>
                  <w:u w:val="single"/>
                  <w:lang w:eastAsia="en-US"/>
                </w:rPr>
                <w:t>https://www.riigiteataja.ee/akt/103022022023</w:t>
              </w:r>
            </w:hyperlink>
            <w:r w:rsidRPr="006D35B3">
              <w:rPr>
                <w:rFonts w:eastAsiaTheme="minorHAnsi"/>
                <w:lang w:eastAsia="en-US"/>
              </w:rPr>
              <w:t>)</w:t>
            </w:r>
            <w:r w:rsidR="007B6D8A">
              <w:rPr>
                <w:rFonts w:eastAsiaTheme="minorHAnsi"/>
                <w:lang w:eastAsia="en-US"/>
              </w:rPr>
              <w:t>.</w:t>
            </w:r>
          </w:p>
        </w:tc>
        <w:tc>
          <w:tcPr>
            <w:tcW w:w="3259" w:type="dxa"/>
          </w:tcPr>
          <w:p w14:paraId="1BC67794" w14:textId="77777777" w:rsidR="005D7B88" w:rsidRPr="006D35B3" w:rsidRDefault="005D7B88" w:rsidP="005D7B88">
            <w:pPr>
              <w:suppressAutoHyphens w:val="0"/>
              <w:snapToGrid w:val="0"/>
              <w:jc w:val="left"/>
              <w:rPr>
                <w:rFonts w:eastAsiaTheme="minorHAnsi"/>
                <w:lang w:eastAsia="en-US"/>
              </w:rPr>
            </w:pPr>
            <w:r w:rsidRPr="006D35B3">
              <w:rPr>
                <w:rFonts w:eastAsiaTheme="minorHAnsi"/>
                <w:lang w:eastAsia="en-US"/>
              </w:rPr>
              <w:t xml:space="preserve">Vastab pärast eelnõu vastuvõtmist. Eelnõuga täiendatakse määruse § 4 lõikega 5. </w:t>
            </w:r>
          </w:p>
        </w:tc>
      </w:tr>
      <w:tr w:rsidR="005D7B88" w:rsidRPr="006D35B3" w14:paraId="143A66DA" w14:textId="77777777" w:rsidTr="00000616">
        <w:trPr>
          <w:trHeight w:val="56"/>
        </w:trPr>
        <w:tc>
          <w:tcPr>
            <w:tcW w:w="1557" w:type="dxa"/>
          </w:tcPr>
          <w:p w14:paraId="463D1580" w14:textId="77777777" w:rsidR="005D7B88" w:rsidRPr="006D35B3" w:rsidRDefault="005D7B88" w:rsidP="005D7B88">
            <w:pPr>
              <w:suppressAutoHyphens w:val="0"/>
              <w:snapToGrid w:val="0"/>
              <w:jc w:val="left"/>
              <w:rPr>
                <w:rFonts w:eastAsiaTheme="minorHAnsi"/>
                <w:b/>
                <w:bCs/>
                <w:lang w:eastAsia="en-US"/>
              </w:rPr>
            </w:pPr>
            <w:r w:rsidRPr="006D35B3">
              <w:rPr>
                <w:rFonts w:eastAsiaTheme="minorHAnsi"/>
                <w:b/>
                <w:bCs/>
                <w:lang w:eastAsia="en-US"/>
              </w:rPr>
              <w:t>Art 2 lg 1</w:t>
            </w:r>
          </w:p>
        </w:tc>
        <w:tc>
          <w:tcPr>
            <w:tcW w:w="1699" w:type="dxa"/>
          </w:tcPr>
          <w:p w14:paraId="306EA4B2" w14:textId="77777777" w:rsidR="005D7B88" w:rsidRPr="006D35B3" w:rsidRDefault="005D7B88" w:rsidP="005D7B88">
            <w:pPr>
              <w:suppressAutoHyphens w:val="0"/>
              <w:snapToGrid w:val="0"/>
              <w:jc w:val="left"/>
              <w:rPr>
                <w:rFonts w:eastAsiaTheme="minorHAnsi"/>
                <w:lang w:eastAsia="en-US"/>
              </w:rPr>
            </w:pPr>
            <w:r w:rsidRPr="006D35B3">
              <w:rPr>
                <w:rFonts w:eastAsiaTheme="minorHAnsi"/>
                <w:lang w:eastAsia="en-US"/>
              </w:rPr>
              <w:t>Jah</w:t>
            </w:r>
          </w:p>
        </w:tc>
        <w:tc>
          <w:tcPr>
            <w:tcW w:w="1701" w:type="dxa"/>
          </w:tcPr>
          <w:p w14:paraId="1FB1084C" w14:textId="77777777" w:rsidR="005D7B88" w:rsidRPr="006D35B3" w:rsidRDefault="005D7B88" w:rsidP="005D7B88">
            <w:pPr>
              <w:suppressAutoHyphens w:val="0"/>
              <w:snapToGrid w:val="0"/>
              <w:jc w:val="left"/>
              <w:rPr>
                <w:rFonts w:eastAsiaTheme="minorHAnsi"/>
                <w:lang w:eastAsia="en-US"/>
              </w:rPr>
            </w:pPr>
            <w:r w:rsidRPr="006D35B3">
              <w:rPr>
                <w:rFonts w:eastAsiaTheme="minorHAnsi"/>
                <w:lang w:eastAsia="en-US"/>
              </w:rPr>
              <w:t>Määruse normitehniline märkus, eelnõu punkt 9.</w:t>
            </w:r>
          </w:p>
        </w:tc>
        <w:tc>
          <w:tcPr>
            <w:tcW w:w="2416" w:type="dxa"/>
          </w:tcPr>
          <w:p w14:paraId="659817F6" w14:textId="77777777" w:rsidR="005D7B88" w:rsidRPr="006D35B3" w:rsidRDefault="005D7B88" w:rsidP="005D7B88">
            <w:pPr>
              <w:suppressAutoHyphens w:val="0"/>
              <w:rPr>
                <w:rFonts w:eastAsiaTheme="minorHAnsi"/>
                <w:i/>
                <w:iCs/>
                <w:lang w:eastAsia="en-US"/>
              </w:rPr>
            </w:pPr>
          </w:p>
        </w:tc>
        <w:tc>
          <w:tcPr>
            <w:tcW w:w="3259" w:type="dxa"/>
          </w:tcPr>
          <w:p w14:paraId="16DC15BB" w14:textId="77777777" w:rsidR="005D7B88" w:rsidRPr="006D35B3" w:rsidRDefault="005D7B88" w:rsidP="005D7B88">
            <w:pPr>
              <w:suppressAutoHyphens w:val="0"/>
              <w:snapToGrid w:val="0"/>
              <w:jc w:val="left"/>
              <w:rPr>
                <w:rFonts w:eastAsiaTheme="minorHAnsi"/>
                <w:lang w:eastAsia="en-US"/>
              </w:rPr>
            </w:pPr>
            <w:r w:rsidRPr="006D35B3">
              <w:rPr>
                <w:rFonts w:eastAsiaTheme="minorHAnsi"/>
                <w:lang w:eastAsia="en-US"/>
              </w:rPr>
              <w:t>Vastab pärast eelnõu vastuvõtmist. Eelnõuga täiendatakse määrust normitehnilise märkusega, milles on viidatud direktiivile 2025/811.</w:t>
            </w:r>
          </w:p>
        </w:tc>
      </w:tr>
      <w:tr w:rsidR="005D7B88" w:rsidRPr="006D35B3" w14:paraId="02FCC625" w14:textId="77777777" w:rsidTr="00000616">
        <w:trPr>
          <w:trHeight w:val="56"/>
        </w:trPr>
        <w:tc>
          <w:tcPr>
            <w:tcW w:w="1557" w:type="dxa"/>
          </w:tcPr>
          <w:p w14:paraId="1F886A5A" w14:textId="77777777" w:rsidR="005D7B88" w:rsidRPr="006D35B3" w:rsidRDefault="005D7B88" w:rsidP="005D7B88">
            <w:pPr>
              <w:suppressAutoHyphens w:val="0"/>
              <w:snapToGrid w:val="0"/>
              <w:jc w:val="left"/>
              <w:rPr>
                <w:rFonts w:eastAsiaTheme="minorHAnsi"/>
                <w:b/>
                <w:bCs/>
                <w:lang w:eastAsia="en-US"/>
              </w:rPr>
            </w:pPr>
            <w:r w:rsidRPr="006D35B3">
              <w:rPr>
                <w:rFonts w:eastAsiaTheme="minorHAnsi"/>
                <w:b/>
                <w:bCs/>
                <w:lang w:eastAsia="en-US"/>
              </w:rPr>
              <w:t>Art 2 lg 2</w:t>
            </w:r>
          </w:p>
        </w:tc>
        <w:tc>
          <w:tcPr>
            <w:tcW w:w="1699" w:type="dxa"/>
          </w:tcPr>
          <w:p w14:paraId="4F64B82A" w14:textId="77777777" w:rsidR="005D7B88" w:rsidRPr="006D35B3" w:rsidRDefault="005D7B88" w:rsidP="005D7B88">
            <w:pPr>
              <w:suppressAutoHyphens w:val="0"/>
              <w:snapToGrid w:val="0"/>
              <w:jc w:val="left"/>
              <w:rPr>
                <w:rFonts w:eastAsiaTheme="minorHAnsi"/>
                <w:lang w:eastAsia="en-US"/>
              </w:rPr>
            </w:pPr>
            <w:r w:rsidRPr="006D35B3">
              <w:rPr>
                <w:rFonts w:eastAsiaTheme="minorHAnsi"/>
                <w:lang w:eastAsia="en-US"/>
              </w:rPr>
              <w:t>Ei</w:t>
            </w:r>
          </w:p>
        </w:tc>
        <w:tc>
          <w:tcPr>
            <w:tcW w:w="1701" w:type="dxa"/>
          </w:tcPr>
          <w:p w14:paraId="65FA094F" w14:textId="77777777" w:rsidR="005D7B88" w:rsidRPr="006D35B3" w:rsidRDefault="005D7B88" w:rsidP="005D7B88">
            <w:pPr>
              <w:suppressAutoHyphens w:val="0"/>
              <w:snapToGrid w:val="0"/>
              <w:jc w:val="left"/>
              <w:rPr>
                <w:rFonts w:eastAsiaTheme="minorHAnsi"/>
                <w:lang w:eastAsia="en-US"/>
              </w:rPr>
            </w:pPr>
          </w:p>
        </w:tc>
        <w:tc>
          <w:tcPr>
            <w:tcW w:w="2416" w:type="dxa"/>
          </w:tcPr>
          <w:p w14:paraId="444404AC" w14:textId="77777777" w:rsidR="005D7B88" w:rsidRPr="006D35B3" w:rsidRDefault="005D7B88" w:rsidP="005D7B88">
            <w:pPr>
              <w:suppressAutoHyphens w:val="0"/>
              <w:rPr>
                <w:rFonts w:eastAsiaTheme="minorHAnsi"/>
                <w:i/>
                <w:iCs/>
                <w:lang w:eastAsia="en-US"/>
              </w:rPr>
            </w:pPr>
          </w:p>
        </w:tc>
        <w:tc>
          <w:tcPr>
            <w:tcW w:w="3259" w:type="dxa"/>
          </w:tcPr>
          <w:p w14:paraId="007426AF" w14:textId="77777777" w:rsidR="005D7B88" w:rsidRPr="006D35B3" w:rsidRDefault="005D7B88" w:rsidP="005D7B88">
            <w:pPr>
              <w:suppressAutoHyphens w:val="0"/>
              <w:snapToGrid w:val="0"/>
              <w:jc w:val="left"/>
              <w:rPr>
                <w:rFonts w:eastAsiaTheme="minorHAnsi"/>
                <w:lang w:eastAsia="en-US"/>
              </w:rPr>
            </w:pPr>
            <w:r w:rsidRPr="006D35B3">
              <w:rPr>
                <w:rFonts w:eastAsiaTheme="minorHAnsi"/>
                <w:lang w:eastAsia="en-US"/>
              </w:rPr>
              <w:t>Liikmesriikide kohustus edastada komisjonile riigisisese õigusnormi tekst.</w:t>
            </w:r>
          </w:p>
        </w:tc>
      </w:tr>
      <w:tr w:rsidR="005D7B88" w:rsidRPr="006D35B3" w14:paraId="46CF105E" w14:textId="77777777" w:rsidTr="00000616">
        <w:trPr>
          <w:trHeight w:val="56"/>
        </w:trPr>
        <w:tc>
          <w:tcPr>
            <w:tcW w:w="1557" w:type="dxa"/>
          </w:tcPr>
          <w:p w14:paraId="364A2042" w14:textId="77777777" w:rsidR="005D7B88" w:rsidRPr="006D35B3" w:rsidRDefault="005D7B88" w:rsidP="005D7B88">
            <w:pPr>
              <w:suppressAutoHyphens w:val="0"/>
              <w:snapToGrid w:val="0"/>
              <w:jc w:val="left"/>
              <w:rPr>
                <w:rFonts w:eastAsiaTheme="minorHAnsi"/>
                <w:b/>
                <w:bCs/>
                <w:lang w:eastAsia="en-US"/>
              </w:rPr>
            </w:pPr>
            <w:r w:rsidRPr="006D35B3">
              <w:rPr>
                <w:rFonts w:eastAsiaTheme="minorHAnsi"/>
                <w:b/>
                <w:bCs/>
                <w:lang w:eastAsia="en-US"/>
              </w:rPr>
              <w:t>Art 3</w:t>
            </w:r>
          </w:p>
        </w:tc>
        <w:tc>
          <w:tcPr>
            <w:tcW w:w="1699" w:type="dxa"/>
          </w:tcPr>
          <w:p w14:paraId="54C44666" w14:textId="77777777" w:rsidR="005D7B88" w:rsidRPr="006D35B3" w:rsidRDefault="005D7B88" w:rsidP="005D7B88">
            <w:pPr>
              <w:suppressAutoHyphens w:val="0"/>
              <w:snapToGrid w:val="0"/>
              <w:jc w:val="left"/>
              <w:rPr>
                <w:rFonts w:eastAsiaTheme="minorHAnsi"/>
                <w:lang w:eastAsia="en-US"/>
              </w:rPr>
            </w:pPr>
            <w:r w:rsidRPr="006D35B3">
              <w:rPr>
                <w:rFonts w:eastAsiaTheme="minorHAnsi"/>
                <w:lang w:eastAsia="en-US"/>
              </w:rPr>
              <w:t>Ei</w:t>
            </w:r>
          </w:p>
        </w:tc>
        <w:tc>
          <w:tcPr>
            <w:tcW w:w="1701" w:type="dxa"/>
          </w:tcPr>
          <w:p w14:paraId="08CD8E0D" w14:textId="77777777" w:rsidR="005D7B88" w:rsidRPr="006D35B3" w:rsidRDefault="005D7B88" w:rsidP="005D7B88">
            <w:pPr>
              <w:suppressAutoHyphens w:val="0"/>
              <w:snapToGrid w:val="0"/>
              <w:jc w:val="left"/>
              <w:rPr>
                <w:rFonts w:eastAsiaTheme="minorHAnsi"/>
                <w:lang w:eastAsia="en-US"/>
              </w:rPr>
            </w:pPr>
          </w:p>
        </w:tc>
        <w:tc>
          <w:tcPr>
            <w:tcW w:w="2416" w:type="dxa"/>
          </w:tcPr>
          <w:p w14:paraId="50CF37C7" w14:textId="77777777" w:rsidR="005D7B88" w:rsidRPr="006D35B3" w:rsidRDefault="005D7B88" w:rsidP="005D7B88">
            <w:pPr>
              <w:suppressAutoHyphens w:val="0"/>
              <w:rPr>
                <w:rFonts w:eastAsiaTheme="minorHAnsi"/>
                <w:i/>
                <w:iCs/>
                <w:lang w:eastAsia="en-US"/>
              </w:rPr>
            </w:pPr>
          </w:p>
        </w:tc>
        <w:tc>
          <w:tcPr>
            <w:tcW w:w="3259" w:type="dxa"/>
          </w:tcPr>
          <w:p w14:paraId="389BA9D5" w14:textId="77777777" w:rsidR="005D7B88" w:rsidRPr="006D35B3" w:rsidRDefault="005D7B88" w:rsidP="005D7B88">
            <w:pPr>
              <w:suppressAutoHyphens w:val="0"/>
              <w:snapToGrid w:val="0"/>
              <w:jc w:val="left"/>
              <w:rPr>
                <w:rFonts w:eastAsiaTheme="minorHAnsi"/>
                <w:lang w:eastAsia="en-US"/>
              </w:rPr>
            </w:pPr>
            <w:r w:rsidRPr="006D35B3">
              <w:rPr>
                <w:rFonts w:eastAsiaTheme="minorHAnsi"/>
                <w:lang w:eastAsia="en-US"/>
              </w:rPr>
              <w:t>Direktiivi jõustumissäte.</w:t>
            </w:r>
          </w:p>
        </w:tc>
      </w:tr>
      <w:tr w:rsidR="005D7B88" w:rsidRPr="006D35B3" w14:paraId="187CB281" w14:textId="77777777" w:rsidTr="00000616">
        <w:trPr>
          <w:trHeight w:val="70"/>
        </w:trPr>
        <w:tc>
          <w:tcPr>
            <w:tcW w:w="1557" w:type="dxa"/>
          </w:tcPr>
          <w:p w14:paraId="10B3C4A3" w14:textId="77777777" w:rsidR="005D7B88" w:rsidRPr="006D35B3" w:rsidRDefault="005D7B88" w:rsidP="005D7B88">
            <w:pPr>
              <w:suppressAutoHyphens w:val="0"/>
              <w:snapToGrid w:val="0"/>
              <w:jc w:val="left"/>
              <w:rPr>
                <w:rFonts w:eastAsiaTheme="minorHAnsi"/>
                <w:b/>
                <w:bCs/>
                <w:lang w:eastAsia="en-US"/>
              </w:rPr>
            </w:pPr>
            <w:r w:rsidRPr="006D35B3">
              <w:rPr>
                <w:rFonts w:eastAsiaTheme="minorHAnsi"/>
                <w:b/>
                <w:bCs/>
                <w:lang w:eastAsia="en-US"/>
              </w:rPr>
              <w:t>Art 4</w:t>
            </w:r>
          </w:p>
        </w:tc>
        <w:tc>
          <w:tcPr>
            <w:tcW w:w="1699" w:type="dxa"/>
          </w:tcPr>
          <w:p w14:paraId="5B8B5690" w14:textId="77777777" w:rsidR="005D7B88" w:rsidRPr="006D35B3" w:rsidRDefault="005D7B88" w:rsidP="005D7B88">
            <w:pPr>
              <w:suppressAutoHyphens w:val="0"/>
              <w:snapToGrid w:val="0"/>
              <w:jc w:val="left"/>
              <w:rPr>
                <w:rFonts w:eastAsiaTheme="minorHAnsi"/>
                <w:lang w:eastAsia="en-US"/>
              </w:rPr>
            </w:pPr>
            <w:r w:rsidRPr="006D35B3">
              <w:rPr>
                <w:rFonts w:eastAsiaTheme="minorHAnsi"/>
                <w:lang w:eastAsia="en-US"/>
              </w:rPr>
              <w:t>Ei</w:t>
            </w:r>
          </w:p>
        </w:tc>
        <w:tc>
          <w:tcPr>
            <w:tcW w:w="1701" w:type="dxa"/>
          </w:tcPr>
          <w:p w14:paraId="0B84B8BE" w14:textId="77777777" w:rsidR="005D7B88" w:rsidRPr="006D35B3" w:rsidRDefault="005D7B88" w:rsidP="005D7B88">
            <w:pPr>
              <w:suppressAutoHyphens w:val="0"/>
              <w:snapToGrid w:val="0"/>
              <w:jc w:val="left"/>
              <w:rPr>
                <w:rFonts w:eastAsiaTheme="minorHAnsi"/>
                <w:lang w:eastAsia="en-US"/>
              </w:rPr>
            </w:pPr>
          </w:p>
        </w:tc>
        <w:tc>
          <w:tcPr>
            <w:tcW w:w="2416" w:type="dxa"/>
          </w:tcPr>
          <w:p w14:paraId="7DB0101C" w14:textId="77777777" w:rsidR="005D7B88" w:rsidRPr="006D35B3" w:rsidRDefault="005D7B88" w:rsidP="005D7B88">
            <w:pPr>
              <w:suppressAutoHyphens w:val="0"/>
              <w:rPr>
                <w:rFonts w:eastAsiaTheme="minorHAnsi"/>
                <w:i/>
                <w:iCs/>
                <w:lang w:eastAsia="en-US"/>
              </w:rPr>
            </w:pPr>
          </w:p>
        </w:tc>
        <w:tc>
          <w:tcPr>
            <w:tcW w:w="3259" w:type="dxa"/>
          </w:tcPr>
          <w:p w14:paraId="66670020" w14:textId="77777777" w:rsidR="005D7B88" w:rsidRPr="006D35B3" w:rsidRDefault="005D7B88" w:rsidP="005D7B88">
            <w:pPr>
              <w:suppressAutoHyphens w:val="0"/>
              <w:snapToGrid w:val="0"/>
              <w:jc w:val="left"/>
              <w:rPr>
                <w:rFonts w:eastAsiaTheme="minorHAnsi"/>
                <w:lang w:eastAsia="en-US"/>
              </w:rPr>
            </w:pPr>
            <w:r w:rsidRPr="006D35B3">
              <w:rPr>
                <w:rFonts w:eastAsiaTheme="minorHAnsi"/>
                <w:lang w:eastAsia="en-US"/>
              </w:rPr>
              <w:t>Direktiivi adressaadid.</w:t>
            </w:r>
          </w:p>
        </w:tc>
      </w:tr>
    </w:tbl>
    <w:p w14:paraId="1E19E961" w14:textId="77777777" w:rsidR="00F80ECA" w:rsidRPr="006D35B3" w:rsidRDefault="00F80ECA" w:rsidP="00303A14"/>
    <w:sectPr w:rsidR="00F80ECA" w:rsidRPr="006D35B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639B5" w14:textId="77777777" w:rsidR="00FA5505" w:rsidRDefault="00FA5505" w:rsidP="002A100C">
      <w:r>
        <w:separator/>
      </w:r>
    </w:p>
  </w:endnote>
  <w:endnote w:type="continuationSeparator" w:id="0">
    <w:p w14:paraId="07932E15" w14:textId="77777777" w:rsidR="00FA5505" w:rsidRDefault="00FA5505" w:rsidP="002A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6983476"/>
      <w:docPartObj>
        <w:docPartGallery w:val="Page Numbers (Bottom of Page)"/>
        <w:docPartUnique/>
      </w:docPartObj>
    </w:sdtPr>
    <w:sdtEndPr/>
    <w:sdtContent>
      <w:p w14:paraId="0BFC5341" w14:textId="5CBC72D7" w:rsidR="00752D24" w:rsidRDefault="00752D24" w:rsidP="00CC2754">
        <w:pPr>
          <w:pStyle w:val="Jalus"/>
          <w:tabs>
            <w:tab w:val="left" w:pos="3731"/>
          </w:tabs>
          <w:jc w:val="left"/>
        </w:pPr>
        <w:r>
          <w:tab/>
        </w:r>
        <w:r>
          <w:tab/>
        </w:r>
        <w:r>
          <w:fldChar w:fldCharType="begin"/>
        </w:r>
        <w:r>
          <w:instrText>PAGE   \* MERGEFORMAT</w:instrText>
        </w:r>
        <w:r>
          <w:fldChar w:fldCharType="separate"/>
        </w:r>
        <w:r w:rsidR="00332809">
          <w:rPr>
            <w:noProof/>
          </w:rPr>
          <w:t>5</w:t>
        </w:r>
        <w:r>
          <w:fldChar w:fldCharType="end"/>
        </w:r>
      </w:p>
    </w:sdtContent>
  </w:sdt>
  <w:p w14:paraId="6A129D08" w14:textId="77777777" w:rsidR="00752D24" w:rsidRDefault="00752D2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88B83" w14:textId="77777777" w:rsidR="00FA5505" w:rsidRDefault="00FA5505" w:rsidP="002A100C">
      <w:r>
        <w:separator/>
      </w:r>
    </w:p>
  </w:footnote>
  <w:footnote w:type="continuationSeparator" w:id="0">
    <w:p w14:paraId="13C0FF56" w14:textId="77777777" w:rsidR="00FA5505" w:rsidRDefault="00FA5505" w:rsidP="002A100C">
      <w:r>
        <w:continuationSeparator/>
      </w:r>
    </w:p>
  </w:footnote>
  <w:footnote w:id="1">
    <w:p w14:paraId="1B90BFE1" w14:textId="3F4AB661" w:rsidR="00303A14" w:rsidRDefault="00303A14" w:rsidP="00303A14">
      <w:pPr>
        <w:pStyle w:val="Allmrkusetekst"/>
      </w:pPr>
      <w:r>
        <w:rPr>
          <w:rStyle w:val="Allmrkuseviide"/>
        </w:rPr>
        <w:footnoteRef/>
      </w:r>
      <w:r>
        <w:t xml:space="preserve"> Ingl </w:t>
      </w:r>
      <w:r>
        <w:rPr>
          <w:i/>
          <w:iCs/>
        </w:rPr>
        <w:t>V</w:t>
      </w:r>
      <w:r w:rsidRPr="00476925">
        <w:rPr>
          <w:i/>
          <w:iCs/>
        </w:rPr>
        <w:t xml:space="preserve">essel </w:t>
      </w:r>
      <w:proofErr w:type="spellStart"/>
      <w:r>
        <w:rPr>
          <w:i/>
          <w:iCs/>
        </w:rPr>
        <w:t>T</w:t>
      </w:r>
      <w:r w:rsidRPr="00476925">
        <w:rPr>
          <w:i/>
          <w:iCs/>
        </w:rPr>
        <w:t>raffic</w:t>
      </w:r>
      <w:proofErr w:type="spellEnd"/>
      <w:r w:rsidRPr="00476925">
        <w:rPr>
          <w:i/>
          <w:iCs/>
        </w:rPr>
        <w:t xml:space="preserve"> </w:t>
      </w:r>
      <w:r>
        <w:rPr>
          <w:i/>
          <w:iCs/>
        </w:rPr>
        <w:t>S</w:t>
      </w:r>
      <w:r w:rsidRPr="00476925">
        <w:rPr>
          <w:i/>
          <w:iCs/>
        </w:rPr>
        <w:t>ervice</w:t>
      </w:r>
      <w:r w:rsidR="00931FF7" w:rsidRPr="005A5396">
        <w:t>.</w:t>
      </w:r>
    </w:p>
  </w:footnote>
  <w:footnote w:id="2">
    <w:p w14:paraId="1B1DED3D" w14:textId="30437AC9" w:rsidR="00303A14" w:rsidRDefault="00303A14" w:rsidP="00303A14">
      <w:pPr>
        <w:pStyle w:val="Allmrkusetekst"/>
      </w:pPr>
      <w:r>
        <w:rPr>
          <w:rStyle w:val="Allmrkuseviide"/>
        </w:rPr>
        <w:footnoteRef/>
      </w:r>
      <w:r>
        <w:t xml:space="preserve"> Ingl </w:t>
      </w:r>
      <w:proofErr w:type="spellStart"/>
      <w:r w:rsidRPr="00476925">
        <w:rPr>
          <w:i/>
          <w:iCs/>
        </w:rPr>
        <w:t>Gulf</w:t>
      </w:r>
      <w:proofErr w:type="spellEnd"/>
      <w:r w:rsidRPr="00476925">
        <w:rPr>
          <w:i/>
          <w:iCs/>
        </w:rPr>
        <w:t xml:space="preserve"> of </w:t>
      </w:r>
      <w:proofErr w:type="spellStart"/>
      <w:r w:rsidRPr="00476925">
        <w:rPr>
          <w:i/>
          <w:iCs/>
        </w:rPr>
        <w:t>Finland</w:t>
      </w:r>
      <w:proofErr w:type="spellEnd"/>
      <w:r w:rsidRPr="00476925">
        <w:rPr>
          <w:i/>
          <w:iCs/>
        </w:rPr>
        <w:t xml:space="preserve"> </w:t>
      </w:r>
      <w:proofErr w:type="spellStart"/>
      <w:r w:rsidRPr="00476925">
        <w:rPr>
          <w:i/>
          <w:iCs/>
        </w:rPr>
        <w:t>Reporting</w:t>
      </w:r>
      <w:proofErr w:type="spellEnd"/>
      <w:r w:rsidR="00931FF7" w:rsidRPr="005A5396">
        <w:t>.</w:t>
      </w:r>
    </w:p>
  </w:footnote>
  <w:footnote w:id="3">
    <w:p w14:paraId="6622F01C" w14:textId="44AF820C" w:rsidR="00303A14" w:rsidRPr="00165F32" w:rsidRDefault="00303A14" w:rsidP="00303A14">
      <w:pPr>
        <w:pStyle w:val="Allmrkusetekst"/>
      </w:pPr>
      <w:r>
        <w:rPr>
          <w:rStyle w:val="Allmrkuseviide"/>
        </w:rPr>
        <w:footnoteRef/>
      </w:r>
      <w:r>
        <w:t xml:space="preserve"> Laeva saabumisest ja lahkumisest teatamist, sh infot, millal tuleb edastada Transpordiametile infot laeva saabumise kohta Eesti sadamasse, reguleerib </w:t>
      </w:r>
      <w:proofErr w:type="spellStart"/>
      <w:r>
        <w:t>MSOS-i</w:t>
      </w:r>
      <w:proofErr w:type="spellEnd"/>
      <w:r>
        <w:t xml:space="preserve"> § 53</w:t>
      </w:r>
      <w:r>
        <w:rPr>
          <w:vertAlign w:val="superscript"/>
        </w:rPr>
        <w:t>3</w:t>
      </w:r>
      <w:r>
        <w:t xml:space="preserve">. </w:t>
      </w:r>
      <w:r w:rsidR="00D32EDA">
        <w:t>Teave edastatakse elektroonilise mereinfosüsteemi kaudu.</w:t>
      </w:r>
    </w:p>
  </w:footnote>
  <w:footnote w:id="4">
    <w:p w14:paraId="65624FCA" w14:textId="77777777" w:rsidR="00303A14" w:rsidRDefault="00303A14" w:rsidP="00303A14">
      <w:pPr>
        <w:pStyle w:val="Allmrkusetekst"/>
      </w:pPr>
      <w:r>
        <w:rPr>
          <w:rStyle w:val="Allmrkuseviide"/>
        </w:rPr>
        <w:footnoteRef/>
      </w:r>
      <w:r>
        <w:t xml:space="preserve"> </w:t>
      </w:r>
      <w:r w:rsidRPr="003A198E">
        <w:t>Euroopa Parlamendi ja nõukogu direktiiv 2009/20/EÜ laevaomanike kindlustuse kohta merinõuete korral (ELT L 131, 28.05.2009, lk 128–131).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22498"/>
    <w:multiLevelType w:val="hybridMultilevel"/>
    <w:tmpl w:val="30CC59A0"/>
    <w:lvl w:ilvl="0" w:tplc="EAD6BAE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107360F"/>
    <w:multiLevelType w:val="hybridMultilevel"/>
    <w:tmpl w:val="2A844E0E"/>
    <w:lvl w:ilvl="0" w:tplc="BEA8CFFA">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593707508">
    <w:abstractNumId w:val="0"/>
  </w:num>
  <w:num w:numId="2" w16cid:durableId="272634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00C"/>
    <w:rsid w:val="000020AC"/>
    <w:rsid w:val="000138A9"/>
    <w:rsid w:val="00027762"/>
    <w:rsid w:val="00031896"/>
    <w:rsid w:val="00064A1C"/>
    <w:rsid w:val="00065186"/>
    <w:rsid w:val="00095D66"/>
    <w:rsid w:val="000C0F8C"/>
    <w:rsid w:val="000C3251"/>
    <w:rsid w:val="000C4A34"/>
    <w:rsid w:val="000C6C74"/>
    <w:rsid w:val="000E1FC7"/>
    <w:rsid w:val="000F420B"/>
    <w:rsid w:val="00150B96"/>
    <w:rsid w:val="00152672"/>
    <w:rsid w:val="00163787"/>
    <w:rsid w:val="00165F32"/>
    <w:rsid w:val="0018026C"/>
    <w:rsid w:val="001B3532"/>
    <w:rsid w:val="001E6D8D"/>
    <w:rsid w:val="00212144"/>
    <w:rsid w:val="00215552"/>
    <w:rsid w:val="002177D9"/>
    <w:rsid w:val="00220652"/>
    <w:rsid w:val="00232875"/>
    <w:rsid w:val="00244E1E"/>
    <w:rsid w:val="0024638F"/>
    <w:rsid w:val="00257AF2"/>
    <w:rsid w:val="00264390"/>
    <w:rsid w:val="00266DA6"/>
    <w:rsid w:val="00267488"/>
    <w:rsid w:val="00295D3F"/>
    <w:rsid w:val="002A05AE"/>
    <w:rsid w:val="002A100C"/>
    <w:rsid w:val="002A3FE1"/>
    <w:rsid w:val="002C50B2"/>
    <w:rsid w:val="002F6741"/>
    <w:rsid w:val="00303A14"/>
    <w:rsid w:val="00332809"/>
    <w:rsid w:val="00354EA3"/>
    <w:rsid w:val="00362943"/>
    <w:rsid w:val="003677EA"/>
    <w:rsid w:val="00373C7C"/>
    <w:rsid w:val="003A198E"/>
    <w:rsid w:val="003C019C"/>
    <w:rsid w:val="003C1691"/>
    <w:rsid w:val="003D107B"/>
    <w:rsid w:val="003E3B32"/>
    <w:rsid w:val="003E4D88"/>
    <w:rsid w:val="00402A0D"/>
    <w:rsid w:val="004123C9"/>
    <w:rsid w:val="00453D2E"/>
    <w:rsid w:val="0045694A"/>
    <w:rsid w:val="00457B60"/>
    <w:rsid w:val="004679F6"/>
    <w:rsid w:val="00474CA8"/>
    <w:rsid w:val="00476925"/>
    <w:rsid w:val="0047764C"/>
    <w:rsid w:val="0048085C"/>
    <w:rsid w:val="004953D3"/>
    <w:rsid w:val="004C1A39"/>
    <w:rsid w:val="004E1DE4"/>
    <w:rsid w:val="00520859"/>
    <w:rsid w:val="00524631"/>
    <w:rsid w:val="005316FF"/>
    <w:rsid w:val="00532161"/>
    <w:rsid w:val="00533FBD"/>
    <w:rsid w:val="0053458B"/>
    <w:rsid w:val="005431EA"/>
    <w:rsid w:val="00554FB2"/>
    <w:rsid w:val="00575C77"/>
    <w:rsid w:val="00585734"/>
    <w:rsid w:val="005869F2"/>
    <w:rsid w:val="00594CCE"/>
    <w:rsid w:val="005A5396"/>
    <w:rsid w:val="005B2699"/>
    <w:rsid w:val="005D7B88"/>
    <w:rsid w:val="005E7425"/>
    <w:rsid w:val="005F084D"/>
    <w:rsid w:val="005F2943"/>
    <w:rsid w:val="005F5470"/>
    <w:rsid w:val="00637795"/>
    <w:rsid w:val="006450FB"/>
    <w:rsid w:val="006476A3"/>
    <w:rsid w:val="00656F01"/>
    <w:rsid w:val="00666E59"/>
    <w:rsid w:val="00681727"/>
    <w:rsid w:val="00681EF5"/>
    <w:rsid w:val="00687927"/>
    <w:rsid w:val="006B77E3"/>
    <w:rsid w:val="006D35B3"/>
    <w:rsid w:val="006D364F"/>
    <w:rsid w:val="006E2FBB"/>
    <w:rsid w:val="006F632F"/>
    <w:rsid w:val="006F6D04"/>
    <w:rsid w:val="0072105E"/>
    <w:rsid w:val="00721624"/>
    <w:rsid w:val="00732D6B"/>
    <w:rsid w:val="00733B2B"/>
    <w:rsid w:val="00747EB5"/>
    <w:rsid w:val="00752D24"/>
    <w:rsid w:val="007640AA"/>
    <w:rsid w:val="007648E2"/>
    <w:rsid w:val="00783978"/>
    <w:rsid w:val="00786A6C"/>
    <w:rsid w:val="00796273"/>
    <w:rsid w:val="007B3F0B"/>
    <w:rsid w:val="007B6D8A"/>
    <w:rsid w:val="007C294E"/>
    <w:rsid w:val="007D2F21"/>
    <w:rsid w:val="008024F9"/>
    <w:rsid w:val="00806231"/>
    <w:rsid w:val="0081389E"/>
    <w:rsid w:val="00827FF3"/>
    <w:rsid w:val="0083326D"/>
    <w:rsid w:val="00836AF1"/>
    <w:rsid w:val="008379AD"/>
    <w:rsid w:val="008429D4"/>
    <w:rsid w:val="00845BA8"/>
    <w:rsid w:val="00851BC4"/>
    <w:rsid w:val="00851F30"/>
    <w:rsid w:val="00860319"/>
    <w:rsid w:val="00897812"/>
    <w:rsid w:val="008C0DB4"/>
    <w:rsid w:val="008E48B0"/>
    <w:rsid w:val="008E5F43"/>
    <w:rsid w:val="008F37BD"/>
    <w:rsid w:val="008F4653"/>
    <w:rsid w:val="00910222"/>
    <w:rsid w:val="00931FF7"/>
    <w:rsid w:val="00946EC2"/>
    <w:rsid w:val="0095235A"/>
    <w:rsid w:val="00992775"/>
    <w:rsid w:val="009B28CD"/>
    <w:rsid w:val="009B6F16"/>
    <w:rsid w:val="009D5618"/>
    <w:rsid w:val="009D6051"/>
    <w:rsid w:val="009E4712"/>
    <w:rsid w:val="009F2B73"/>
    <w:rsid w:val="00A033D0"/>
    <w:rsid w:val="00A04F0E"/>
    <w:rsid w:val="00A15A4B"/>
    <w:rsid w:val="00A30BE6"/>
    <w:rsid w:val="00A54778"/>
    <w:rsid w:val="00A56CE8"/>
    <w:rsid w:val="00A677B9"/>
    <w:rsid w:val="00A72AE1"/>
    <w:rsid w:val="00A75014"/>
    <w:rsid w:val="00A9668E"/>
    <w:rsid w:val="00AB057F"/>
    <w:rsid w:val="00AB5F69"/>
    <w:rsid w:val="00AC28A6"/>
    <w:rsid w:val="00AC4116"/>
    <w:rsid w:val="00AE6AEE"/>
    <w:rsid w:val="00AF0B07"/>
    <w:rsid w:val="00B1229A"/>
    <w:rsid w:val="00B138FD"/>
    <w:rsid w:val="00B3611A"/>
    <w:rsid w:val="00B56006"/>
    <w:rsid w:val="00B63479"/>
    <w:rsid w:val="00B71770"/>
    <w:rsid w:val="00B8319E"/>
    <w:rsid w:val="00B9571B"/>
    <w:rsid w:val="00B96A96"/>
    <w:rsid w:val="00BA723A"/>
    <w:rsid w:val="00BB565E"/>
    <w:rsid w:val="00BB57E2"/>
    <w:rsid w:val="00BC6C91"/>
    <w:rsid w:val="00BD1909"/>
    <w:rsid w:val="00BD6D13"/>
    <w:rsid w:val="00BE333B"/>
    <w:rsid w:val="00BF00E4"/>
    <w:rsid w:val="00C0543E"/>
    <w:rsid w:val="00C05B45"/>
    <w:rsid w:val="00C15E16"/>
    <w:rsid w:val="00C334D8"/>
    <w:rsid w:val="00C43F6B"/>
    <w:rsid w:val="00C467B4"/>
    <w:rsid w:val="00C630A6"/>
    <w:rsid w:val="00C7272C"/>
    <w:rsid w:val="00C778C8"/>
    <w:rsid w:val="00C83D2B"/>
    <w:rsid w:val="00C83F7D"/>
    <w:rsid w:val="00C91C48"/>
    <w:rsid w:val="00CA1B7B"/>
    <w:rsid w:val="00CC2754"/>
    <w:rsid w:val="00CC724E"/>
    <w:rsid w:val="00CD16E6"/>
    <w:rsid w:val="00CD3921"/>
    <w:rsid w:val="00CE7354"/>
    <w:rsid w:val="00D229FC"/>
    <w:rsid w:val="00D239B1"/>
    <w:rsid w:val="00D26796"/>
    <w:rsid w:val="00D31C7C"/>
    <w:rsid w:val="00D32EDA"/>
    <w:rsid w:val="00D50783"/>
    <w:rsid w:val="00D54FB8"/>
    <w:rsid w:val="00D57A90"/>
    <w:rsid w:val="00D71A2E"/>
    <w:rsid w:val="00D84340"/>
    <w:rsid w:val="00D850E0"/>
    <w:rsid w:val="00DA3235"/>
    <w:rsid w:val="00DB1219"/>
    <w:rsid w:val="00DB447E"/>
    <w:rsid w:val="00E07169"/>
    <w:rsid w:val="00E30141"/>
    <w:rsid w:val="00E37246"/>
    <w:rsid w:val="00E6576A"/>
    <w:rsid w:val="00E7263A"/>
    <w:rsid w:val="00E7494B"/>
    <w:rsid w:val="00E87501"/>
    <w:rsid w:val="00EC0125"/>
    <w:rsid w:val="00F0555C"/>
    <w:rsid w:val="00F80ECA"/>
    <w:rsid w:val="00FA5505"/>
    <w:rsid w:val="00FA6EA2"/>
    <w:rsid w:val="00FB13A5"/>
    <w:rsid w:val="00FB389C"/>
    <w:rsid w:val="00FB4E35"/>
    <w:rsid w:val="00FD4816"/>
    <w:rsid w:val="00FE14F5"/>
    <w:rsid w:val="00FE3995"/>
    <w:rsid w:val="00FE74F6"/>
    <w:rsid w:val="00FF4FB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9A930"/>
  <w15:chartTrackingRefBased/>
  <w15:docId w15:val="{B34E029F-42F5-41E8-9AC9-E323B98A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177D9"/>
    <w:pPr>
      <w:suppressAutoHyphens/>
      <w:spacing w:after="0" w:line="240" w:lineRule="auto"/>
      <w:jc w:val="both"/>
    </w:pPr>
    <w:rPr>
      <w:rFonts w:ascii="Times New Roman" w:eastAsia="Times New Roman" w:hAnsi="Times New Roman" w:cs="Times New Roman"/>
      <w:sz w:val="24"/>
      <w:szCs w:val="24"/>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sid w:val="002A100C"/>
    <w:rPr>
      <w:color w:val="0000FF"/>
      <w:u w:val="single"/>
    </w:rPr>
  </w:style>
  <w:style w:type="paragraph" w:styleId="Kehatekst">
    <w:name w:val="Body Text"/>
    <w:basedOn w:val="Normaallaad"/>
    <w:link w:val="KehatekstMrk"/>
    <w:rsid w:val="002A100C"/>
    <w:pPr>
      <w:autoSpaceDE w:val="0"/>
      <w:jc w:val="center"/>
    </w:pPr>
    <w:rPr>
      <w:szCs w:val="20"/>
    </w:rPr>
  </w:style>
  <w:style w:type="character" w:customStyle="1" w:styleId="KehatekstMrk">
    <w:name w:val="Kehatekst Märk"/>
    <w:basedOn w:val="Liguvaikefont"/>
    <w:link w:val="Kehatekst"/>
    <w:rsid w:val="002A100C"/>
    <w:rPr>
      <w:rFonts w:ascii="Times New Roman" w:eastAsia="Times New Roman" w:hAnsi="Times New Roman" w:cs="Times New Roman"/>
      <w:sz w:val="24"/>
      <w:szCs w:val="20"/>
      <w:lang w:eastAsia="ar-SA"/>
    </w:rPr>
  </w:style>
  <w:style w:type="paragraph" w:styleId="Taandegakehatekst">
    <w:name w:val="Body Text Indent"/>
    <w:basedOn w:val="Normaallaad"/>
    <w:link w:val="TaandegakehatekstMrk"/>
    <w:rsid w:val="002A100C"/>
    <w:pPr>
      <w:ind w:left="360" w:firstLine="180"/>
    </w:pPr>
    <w:rPr>
      <w:szCs w:val="20"/>
    </w:rPr>
  </w:style>
  <w:style w:type="character" w:customStyle="1" w:styleId="TaandegakehatekstMrk">
    <w:name w:val="Taandega kehatekst Märk"/>
    <w:basedOn w:val="Liguvaikefont"/>
    <w:link w:val="Taandegakehatekst"/>
    <w:rsid w:val="002A100C"/>
    <w:rPr>
      <w:rFonts w:ascii="Times New Roman" w:eastAsia="Times New Roman" w:hAnsi="Times New Roman" w:cs="Times New Roman"/>
      <w:sz w:val="24"/>
      <w:szCs w:val="20"/>
      <w:lang w:eastAsia="ar-SA"/>
    </w:rPr>
  </w:style>
  <w:style w:type="paragraph" w:customStyle="1" w:styleId="Kehatekst21">
    <w:name w:val="Kehatekst 21"/>
    <w:basedOn w:val="Normaallaad"/>
    <w:rsid w:val="002A100C"/>
    <w:pPr>
      <w:autoSpaceDE w:val="0"/>
    </w:pPr>
    <w:rPr>
      <w:szCs w:val="20"/>
    </w:rPr>
  </w:style>
  <w:style w:type="paragraph" w:styleId="Lihttekst">
    <w:name w:val="Plain Text"/>
    <w:basedOn w:val="Normaallaad"/>
    <w:link w:val="LihttekstMrk"/>
    <w:rsid w:val="002A100C"/>
    <w:pPr>
      <w:suppressAutoHyphens w:val="0"/>
    </w:pPr>
    <w:rPr>
      <w:rFonts w:ascii="Courier New" w:hAnsi="Courier New" w:cs="Courier New"/>
      <w:sz w:val="20"/>
      <w:szCs w:val="20"/>
      <w:lang w:val="en-US" w:eastAsia="en-US"/>
    </w:rPr>
  </w:style>
  <w:style w:type="character" w:customStyle="1" w:styleId="LihttekstMrk">
    <w:name w:val="Lihttekst Märk"/>
    <w:basedOn w:val="Liguvaikefont"/>
    <w:link w:val="Lihttekst"/>
    <w:rsid w:val="002A100C"/>
    <w:rPr>
      <w:rFonts w:ascii="Courier New" w:eastAsia="Times New Roman" w:hAnsi="Courier New" w:cs="Courier New"/>
      <w:sz w:val="20"/>
      <w:szCs w:val="20"/>
      <w:lang w:val="en-US"/>
    </w:rPr>
  </w:style>
  <w:style w:type="paragraph" w:styleId="Pealkiri">
    <w:name w:val="Title"/>
    <w:basedOn w:val="Normaallaad"/>
    <w:next w:val="Normaallaad"/>
    <w:link w:val="PealkiriMrk"/>
    <w:uiPriority w:val="99"/>
    <w:qFormat/>
    <w:rsid w:val="002A100C"/>
    <w:pPr>
      <w:suppressAutoHyphens w:val="0"/>
      <w:contextualSpacing/>
    </w:pPr>
    <w:rPr>
      <w:rFonts w:ascii="Calibri Light" w:hAnsi="Calibri Light"/>
      <w:spacing w:val="-10"/>
      <w:kern w:val="28"/>
      <w:sz w:val="56"/>
      <w:szCs w:val="56"/>
      <w:lang w:eastAsia="en-US"/>
    </w:rPr>
  </w:style>
  <w:style w:type="character" w:customStyle="1" w:styleId="PealkiriMrk">
    <w:name w:val="Pealkiri Märk"/>
    <w:basedOn w:val="Liguvaikefont"/>
    <w:link w:val="Pealkiri"/>
    <w:uiPriority w:val="99"/>
    <w:rsid w:val="002A100C"/>
    <w:rPr>
      <w:rFonts w:ascii="Calibri Light" w:eastAsia="Times New Roman" w:hAnsi="Calibri Light" w:cs="Times New Roman"/>
      <w:spacing w:val="-10"/>
      <w:kern w:val="28"/>
      <w:sz w:val="56"/>
      <w:szCs w:val="56"/>
    </w:rPr>
  </w:style>
  <w:style w:type="paragraph" w:styleId="Jalus">
    <w:name w:val="footer"/>
    <w:basedOn w:val="Normaallaad"/>
    <w:link w:val="JalusMrk"/>
    <w:uiPriority w:val="99"/>
    <w:rsid w:val="002A100C"/>
    <w:pPr>
      <w:tabs>
        <w:tab w:val="center" w:pos="4536"/>
        <w:tab w:val="right" w:pos="9072"/>
      </w:tabs>
    </w:pPr>
  </w:style>
  <w:style w:type="character" w:customStyle="1" w:styleId="JalusMrk">
    <w:name w:val="Jalus Märk"/>
    <w:basedOn w:val="Liguvaikefont"/>
    <w:link w:val="Jalus"/>
    <w:uiPriority w:val="99"/>
    <w:rsid w:val="002A100C"/>
    <w:rPr>
      <w:rFonts w:ascii="Times New Roman" w:eastAsia="Times New Roman" w:hAnsi="Times New Roman" w:cs="Times New Roman"/>
      <w:sz w:val="24"/>
      <w:szCs w:val="24"/>
      <w:lang w:eastAsia="ar-SA"/>
    </w:rPr>
  </w:style>
  <w:style w:type="paragraph" w:styleId="Allmrkusetekst">
    <w:name w:val="footnote text"/>
    <w:basedOn w:val="Normaallaad"/>
    <w:link w:val="AllmrkusetekstMrk"/>
    <w:rsid w:val="002A100C"/>
    <w:rPr>
      <w:sz w:val="20"/>
      <w:szCs w:val="20"/>
    </w:rPr>
  </w:style>
  <w:style w:type="character" w:customStyle="1" w:styleId="AllmrkusetekstMrk">
    <w:name w:val="Allmärkuse tekst Märk"/>
    <w:basedOn w:val="Liguvaikefont"/>
    <w:link w:val="Allmrkusetekst"/>
    <w:rsid w:val="002A100C"/>
    <w:rPr>
      <w:rFonts w:ascii="Times New Roman" w:eastAsia="Times New Roman" w:hAnsi="Times New Roman" w:cs="Times New Roman"/>
      <w:sz w:val="20"/>
      <w:szCs w:val="20"/>
      <w:lang w:eastAsia="ar-SA"/>
    </w:rPr>
  </w:style>
  <w:style w:type="character" w:styleId="Allmrkuseviide">
    <w:name w:val="footnote reference"/>
    <w:basedOn w:val="Liguvaikefont"/>
    <w:rsid w:val="002A100C"/>
    <w:rPr>
      <w:vertAlign w:val="superscript"/>
    </w:rPr>
  </w:style>
  <w:style w:type="character" w:customStyle="1" w:styleId="Lahendamatamainimine1">
    <w:name w:val="Lahendamata mainimine1"/>
    <w:basedOn w:val="Liguvaikefont"/>
    <w:uiPriority w:val="99"/>
    <w:semiHidden/>
    <w:unhideWhenUsed/>
    <w:rsid w:val="002A100C"/>
    <w:rPr>
      <w:color w:val="605E5C"/>
      <w:shd w:val="clear" w:color="auto" w:fill="E1DFDD"/>
    </w:rPr>
  </w:style>
  <w:style w:type="paragraph" w:styleId="Loendilik">
    <w:name w:val="List Paragraph"/>
    <w:basedOn w:val="Normaallaad"/>
    <w:uiPriority w:val="34"/>
    <w:qFormat/>
    <w:rsid w:val="00C630A6"/>
    <w:pPr>
      <w:ind w:left="720"/>
      <w:contextualSpacing/>
    </w:pPr>
  </w:style>
  <w:style w:type="character" w:styleId="Kommentaariviide">
    <w:name w:val="annotation reference"/>
    <w:basedOn w:val="Liguvaikefont"/>
    <w:uiPriority w:val="99"/>
    <w:semiHidden/>
    <w:unhideWhenUsed/>
    <w:rsid w:val="00CE7354"/>
    <w:rPr>
      <w:sz w:val="16"/>
      <w:szCs w:val="16"/>
    </w:rPr>
  </w:style>
  <w:style w:type="paragraph" w:styleId="Kommentaaritekst">
    <w:name w:val="annotation text"/>
    <w:basedOn w:val="Normaallaad"/>
    <w:link w:val="KommentaaritekstMrk"/>
    <w:uiPriority w:val="99"/>
    <w:unhideWhenUsed/>
    <w:qFormat/>
    <w:rsid w:val="00CE7354"/>
    <w:rPr>
      <w:sz w:val="20"/>
      <w:szCs w:val="20"/>
    </w:rPr>
  </w:style>
  <w:style w:type="character" w:customStyle="1" w:styleId="KommentaaritekstMrk">
    <w:name w:val="Kommentaari tekst Märk"/>
    <w:basedOn w:val="Liguvaikefont"/>
    <w:link w:val="Kommentaaritekst"/>
    <w:uiPriority w:val="99"/>
    <w:rsid w:val="00CE7354"/>
    <w:rPr>
      <w:rFonts w:ascii="Times New Roman" w:eastAsia="Times New Roman" w:hAnsi="Times New Roman" w:cs="Times New Roman"/>
      <w:sz w:val="20"/>
      <w:szCs w:val="20"/>
      <w:lang w:eastAsia="ar-SA"/>
    </w:rPr>
  </w:style>
  <w:style w:type="paragraph" w:styleId="Kommentaariteema">
    <w:name w:val="annotation subject"/>
    <w:basedOn w:val="Kommentaaritekst"/>
    <w:next w:val="Kommentaaritekst"/>
    <w:link w:val="KommentaariteemaMrk"/>
    <w:uiPriority w:val="99"/>
    <w:semiHidden/>
    <w:unhideWhenUsed/>
    <w:rsid w:val="00CE7354"/>
    <w:rPr>
      <w:b/>
      <w:bCs/>
    </w:rPr>
  </w:style>
  <w:style w:type="character" w:customStyle="1" w:styleId="KommentaariteemaMrk">
    <w:name w:val="Kommentaari teema Märk"/>
    <w:basedOn w:val="KommentaaritekstMrk"/>
    <w:link w:val="Kommentaariteema"/>
    <w:uiPriority w:val="99"/>
    <w:semiHidden/>
    <w:rsid w:val="00CE7354"/>
    <w:rPr>
      <w:rFonts w:ascii="Times New Roman" w:eastAsia="Times New Roman" w:hAnsi="Times New Roman" w:cs="Times New Roman"/>
      <w:b/>
      <w:bCs/>
      <w:sz w:val="20"/>
      <w:szCs w:val="20"/>
      <w:lang w:eastAsia="ar-SA"/>
    </w:rPr>
  </w:style>
  <w:style w:type="paragraph" w:styleId="Jutumullitekst">
    <w:name w:val="Balloon Text"/>
    <w:basedOn w:val="Normaallaad"/>
    <w:link w:val="JutumullitekstMrk"/>
    <w:uiPriority w:val="99"/>
    <w:semiHidden/>
    <w:unhideWhenUsed/>
    <w:rsid w:val="00C0543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0543E"/>
    <w:rPr>
      <w:rFonts w:ascii="Segoe UI" w:eastAsia="Times New Roman" w:hAnsi="Segoe UI" w:cs="Segoe UI"/>
      <w:sz w:val="18"/>
      <w:szCs w:val="18"/>
      <w:lang w:eastAsia="ar-SA"/>
    </w:rPr>
  </w:style>
  <w:style w:type="character" w:customStyle="1" w:styleId="WW8Num1z0">
    <w:name w:val="WW8Num1z0"/>
    <w:uiPriority w:val="99"/>
    <w:rsid w:val="00C0543E"/>
  </w:style>
  <w:style w:type="character" w:customStyle="1" w:styleId="KommentaaritekstMrk3">
    <w:name w:val="Kommentaari tekst Märk3"/>
    <w:basedOn w:val="Liguvaikefont"/>
    <w:uiPriority w:val="99"/>
    <w:rsid w:val="00C0543E"/>
    <w:rPr>
      <w:rFonts w:ascii="Times New Roman" w:eastAsia="Times New Roman" w:hAnsi="Times New Roman" w:cs="Times New Roman"/>
      <w:sz w:val="20"/>
      <w:szCs w:val="20"/>
      <w:lang w:eastAsia="ar-SA"/>
    </w:rPr>
  </w:style>
  <w:style w:type="paragraph" w:styleId="Redaktsioon">
    <w:name w:val="Revision"/>
    <w:hidden/>
    <w:uiPriority w:val="99"/>
    <w:semiHidden/>
    <w:rsid w:val="004E1DE4"/>
    <w:pPr>
      <w:spacing w:after="0" w:line="240" w:lineRule="auto"/>
    </w:pPr>
    <w:rPr>
      <w:rFonts w:ascii="Times New Roman" w:eastAsia="Times New Roman" w:hAnsi="Times New Roman" w:cs="Times New Roman"/>
      <w:sz w:val="24"/>
      <w:szCs w:val="24"/>
      <w:lang w:eastAsia="ar-SA"/>
    </w:rPr>
  </w:style>
  <w:style w:type="character" w:styleId="Lahendamatamainimine">
    <w:name w:val="Unresolved Mention"/>
    <w:basedOn w:val="Liguvaikefont"/>
    <w:uiPriority w:val="99"/>
    <w:semiHidden/>
    <w:unhideWhenUsed/>
    <w:rsid w:val="00533FBD"/>
    <w:rPr>
      <w:color w:val="605E5C"/>
      <w:shd w:val="clear" w:color="auto" w:fill="E1DFDD"/>
    </w:rPr>
  </w:style>
  <w:style w:type="table" w:styleId="Helekontuurtabel">
    <w:name w:val="Grid Table Light"/>
    <w:basedOn w:val="Normaaltabel"/>
    <w:uiPriority w:val="40"/>
    <w:rsid w:val="005D7B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is">
    <w:name w:val="header"/>
    <w:basedOn w:val="Normaallaad"/>
    <w:link w:val="PisMrk"/>
    <w:uiPriority w:val="99"/>
    <w:semiHidden/>
    <w:unhideWhenUsed/>
    <w:rsid w:val="00474CA8"/>
    <w:pPr>
      <w:tabs>
        <w:tab w:val="center" w:pos="4536"/>
        <w:tab w:val="right" w:pos="9072"/>
      </w:tabs>
    </w:pPr>
  </w:style>
  <w:style w:type="character" w:customStyle="1" w:styleId="PisMrk">
    <w:name w:val="Päis Märk"/>
    <w:basedOn w:val="Liguvaikefont"/>
    <w:link w:val="Pis"/>
    <w:uiPriority w:val="99"/>
    <w:semiHidden/>
    <w:rsid w:val="00474CA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773116">
      <w:bodyDiv w:val="1"/>
      <w:marLeft w:val="0"/>
      <w:marRight w:val="0"/>
      <w:marTop w:val="0"/>
      <w:marBottom w:val="0"/>
      <w:divBdr>
        <w:top w:val="none" w:sz="0" w:space="0" w:color="auto"/>
        <w:left w:val="none" w:sz="0" w:space="0" w:color="auto"/>
        <w:bottom w:val="none" w:sz="0" w:space="0" w:color="auto"/>
        <w:right w:val="none" w:sz="0" w:space="0" w:color="auto"/>
      </w:divBdr>
    </w:div>
    <w:div w:id="47895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merits@kliimaministeerium.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igiteataja.ee/akt/10302202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onika.kuusk@justdigi.ee" TargetMode="External"/><Relationship Id="rId4" Type="http://schemas.openxmlformats.org/officeDocument/2006/relationships/settings" Target="settings.xml"/><Relationship Id="rId9" Type="http://schemas.openxmlformats.org/officeDocument/2006/relationships/hyperlink" Target="mailto:helen.holtsman@kliimaministeerium.e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C68A1-592A-4173-B296-828DE0311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5</Pages>
  <Words>1666</Words>
  <Characters>9664</Characters>
  <Application>Microsoft Office Word</Application>
  <DocSecurity>0</DocSecurity>
  <Lines>80</Lines>
  <Paragraphs>22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VTS määruse muutmine SK</vt: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VTS määruse muutmine SK</dc:title>
  <dc:subject/>
  <dc:creator>Anton Merits</dc:creator>
  <dc:description/>
  <cp:lastModifiedBy>Kaie Siniallik - RTK</cp:lastModifiedBy>
  <cp:revision>45</cp:revision>
  <dcterms:created xsi:type="dcterms:W3CDTF">2025-06-18T09:52:00Z</dcterms:created>
  <dcterms:modified xsi:type="dcterms:W3CDTF">2025-09-18T10:12:00Z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2025-09-10T06:45:19Z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b503e476-3a09-403f-a580-5a116fa92d39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